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2E5395"/>
          <w:sz w:val="64"/>
          <w:szCs w:val="64"/>
        </w:rPr>
        <w:t xml:space="preserve">BrokerCore</w:t>
      </w:r>
    </w:p>
    <w:p>
      <w:pPr>
        <w:spacing w:after="600"/>
        <w:jc w:val="center"/>
      </w:pPr>
      <w:r>
        <w:rPr>
          <w:b/>
          <w:bCs/>
          <w:sz w:val="36"/>
          <w:szCs w:val="36"/>
        </w:rPr>
        <w:t xml:space="preserve">Funcionalidades y Requerimientos del Sistema</w:t>
      </w:r>
    </w:p>
    <w:p>
      <w:pPr>
        <w:spacing w:after="1200"/>
        <w:jc w:val="center"/>
      </w:pPr>
      <w:r>
        <w:rPr>
          <w:i/>
          <w:iCs/>
          <w:sz w:val="26"/>
          <w:szCs w:val="26"/>
        </w:rPr>
        <w:t xml:space="preserve">Sistema de gestión integral para corredoras de seguros venezolanas</w:t>
      </w:r>
    </w:p>
    <w:p>
      <w:pPr>
        <w:spacing w:after="200"/>
        <w:jc w:val="center"/>
      </w:pPr>
      <w:r>
        <w:rPr>
          <w:sz w:val="24"/>
          <w:szCs w:val="24"/>
        </w:rPr>
        <w:t xml:space="preserve">Documento técnico-funcional de presentación</w:t>
      </w:r>
    </w:p>
    <w:p>
      <w:pPr>
        <w:spacing w:after="4000"/>
        <w:jc w:val="center"/>
      </w:pPr>
      <w:r>
        <w:rPr>
          <w:sz w:val="24"/>
          <w:szCs w:val="24"/>
        </w:rPr>
        <w:t xml:space="preserve">18 de julio de 2026</w:t>
      </w:r>
    </w:p>
    <w:p>
      <w:pPr>
        <w:pStyle w:val="Heading1"/>
        <w:pageBreakBefore/>
        <w:spacing w:after="240" w:before="480"/>
      </w:pPr>
      <w:r>
        <w:t xml:space="preserve">Índice</w:t>
      </w:r>
    </w:p>
    <w:p>
      <w:pPr>
        <w:pStyle w:val="ListParagraph"/>
        <w:numPr>
          <w:ilvl w:val="0"/>
          <w:numId w:val="1"/>
        </w:numPr>
        <w:spacing w:after="80"/>
      </w:pPr>
      <w:r>
        <w:t xml:space="preserve">1. Introducción</w:t>
      </w:r>
    </w:p>
    <w:p>
      <w:pPr>
        <w:pStyle w:val="ListParagraph"/>
        <w:numPr>
          <w:ilvl w:val="0"/>
          <w:numId w:val="1"/>
        </w:numPr>
        <w:spacing w:after="80"/>
      </w:pPr>
      <w:r>
        <w:t xml:space="preserve">2. Alcance funcional</w:t>
      </w:r>
    </w:p>
    <w:p>
      <w:pPr>
        <w:pStyle w:val="ListParagraph"/>
        <w:numPr>
          <w:ilvl w:val="1"/>
          <w:numId w:val="1"/>
        </w:numPr>
        <w:spacing w:after="80"/>
      </w:pPr>
      <w:r>
        <w:t xml:space="preserve">2.1 Asegurados</w:t>
      </w:r>
    </w:p>
    <w:p>
      <w:pPr>
        <w:pStyle w:val="ListParagraph"/>
        <w:numPr>
          <w:ilvl w:val="1"/>
          <w:numId w:val="1"/>
        </w:numPr>
        <w:spacing w:after="80"/>
      </w:pPr>
      <w:r>
        <w:t xml:space="preserve">2.2 Pólizas</w:t>
      </w:r>
    </w:p>
    <w:p>
      <w:pPr>
        <w:pStyle w:val="ListParagraph"/>
        <w:numPr>
          <w:ilvl w:val="1"/>
          <w:numId w:val="1"/>
        </w:numPr>
        <w:spacing w:after="80"/>
      </w:pPr>
      <w:r>
        <w:t xml:space="preserve">2.3 Siniestros</w:t>
      </w:r>
    </w:p>
    <w:p>
      <w:pPr>
        <w:pStyle w:val="ListParagraph"/>
        <w:numPr>
          <w:ilvl w:val="1"/>
          <w:numId w:val="1"/>
        </w:numPr>
        <w:spacing w:after="80"/>
      </w:pPr>
      <w:r>
        <w:t xml:space="preserve">2.4 Comisiones</w:t>
      </w:r>
    </w:p>
    <w:p>
      <w:pPr>
        <w:pStyle w:val="ListParagraph"/>
        <w:numPr>
          <w:ilvl w:val="1"/>
          <w:numId w:val="1"/>
        </w:numPr>
        <w:spacing w:after="80"/>
      </w:pPr>
      <w:r>
        <w:t xml:space="preserve">2.5 Cobranza</w:t>
      </w:r>
    </w:p>
    <w:p>
      <w:pPr>
        <w:pStyle w:val="ListParagraph"/>
        <w:numPr>
          <w:ilvl w:val="1"/>
          <w:numId w:val="1"/>
        </w:numPr>
        <w:spacing w:after="80"/>
      </w:pPr>
      <w:r>
        <w:t xml:space="preserve">2.6 Ejecutivos, Compañías y Empleados</w:t>
      </w:r>
    </w:p>
    <w:p>
      <w:pPr>
        <w:pStyle w:val="ListParagraph"/>
        <w:numPr>
          <w:ilvl w:val="1"/>
          <w:numId w:val="1"/>
        </w:numPr>
        <w:spacing w:after="80"/>
      </w:pPr>
      <w:r>
        <w:t xml:space="preserve">2.7 Usuarios y Roles</w:t>
      </w:r>
    </w:p>
    <w:p>
      <w:pPr>
        <w:pStyle w:val="ListParagraph"/>
        <w:numPr>
          <w:ilvl w:val="1"/>
          <w:numId w:val="1"/>
        </w:numPr>
        <w:spacing w:after="80"/>
      </w:pPr>
      <w:r>
        <w:t xml:space="preserve">2.8 Reportes (Dashboard y Sudaseg)</w:t>
      </w:r>
    </w:p>
    <w:p>
      <w:pPr>
        <w:pStyle w:val="ListParagraph"/>
        <w:numPr>
          <w:ilvl w:val="0"/>
          <w:numId w:val="1"/>
        </w:numPr>
        <w:spacing w:after="80"/>
      </w:pPr>
      <w:r>
        <w:t xml:space="preserve">3. Requerimientos técnicos / no funcionales</w:t>
      </w:r>
    </w:p>
    <w:p>
      <w:pPr>
        <w:pStyle w:val="ListParagraph"/>
        <w:numPr>
          <w:ilvl w:val="1"/>
          <w:numId w:val="1"/>
        </w:numPr>
        <w:spacing w:after="80"/>
      </w:pPr>
      <w:r>
        <w:t xml:space="preserve">3.1 Stack tecnológico</w:t>
      </w:r>
    </w:p>
    <w:p>
      <w:pPr>
        <w:pStyle w:val="ListParagraph"/>
        <w:numPr>
          <w:ilvl w:val="1"/>
          <w:numId w:val="1"/>
        </w:numPr>
        <w:spacing w:after="80"/>
      </w:pPr>
      <w:r>
        <w:t xml:space="preserve">3.2 Arquitectura</w:t>
      </w:r>
    </w:p>
    <w:p>
      <w:pPr>
        <w:pStyle w:val="ListParagraph"/>
        <w:numPr>
          <w:ilvl w:val="1"/>
          <w:numId w:val="1"/>
        </w:numPr>
        <w:spacing w:after="80"/>
      </w:pPr>
      <w:r>
        <w:t xml:space="preserve">3.3 Modelo de conexión a base de datos</w:t>
      </w:r>
    </w:p>
    <w:p>
      <w:pPr>
        <w:pStyle w:val="ListParagraph"/>
        <w:numPr>
          <w:ilvl w:val="1"/>
          <w:numId w:val="1"/>
        </w:numPr>
        <w:spacing w:after="80"/>
      </w:pPr>
      <w:r>
        <w:t xml:space="preserve">3.4 Despliegue</w:t>
      </w:r>
    </w:p>
    <w:p>
      <w:pPr>
        <w:pStyle w:val="ListParagraph"/>
        <w:numPr>
          <w:ilvl w:val="1"/>
          <w:numId w:val="1"/>
        </w:numPr>
        <w:spacing w:after="80"/>
      </w:pPr>
      <w:r>
        <w:t xml:space="preserve">3.5 Postura de seguridad</w:t>
      </w:r>
    </w:p>
    <w:p>
      <w:pPr>
        <w:pStyle w:val="ListParagraph"/>
        <w:numPr>
          <w:ilvl w:val="0"/>
          <w:numId w:val="1"/>
        </w:numPr>
        <w:spacing w:after="80"/>
      </w:pPr>
      <w:r>
        <w:t xml:space="preserve">4. Limitaciones conocidas y próximos pasos</w:t>
      </w:r>
    </w:p>
    <w:p>
      <w:pPr>
        <w:pStyle w:val="ListParagraph"/>
        <w:numPr>
          <w:ilvl w:val="0"/>
          <w:numId w:val="1"/>
        </w:numPr>
        <w:spacing w:after="80"/>
      </w:pPr>
      <w:r>
        <w:t xml:space="preserve">5. Estado actual</w:t>
      </w:r>
    </w:p>
    <w:p>
      <w:pPr>
        <w:pStyle w:val="Heading1"/>
        <w:pageBreakBefore/>
        <w:spacing w:after="240" w:before="480"/>
      </w:pPr>
      <w:r>
        <w:t xml:space="preserve">1. Introducción</w:t>
      </w:r>
    </w:p>
    <w:p>
      <w:pPr>
        <w:pStyle w:val="Heading2"/>
        <w:spacing w:after="180" w:before="360"/>
      </w:pPr>
      <w:r>
        <w:t xml:space="preserve">El problema</w:t>
      </w:r>
    </w:p>
    <w:p>
      <w:pPr>
        <w:spacing w:after="160"/>
      </w:pPr>
      <w:r>
        <w:t xml:space="preserve">Las corredoras de seguros venezolanas suelen gestionar su operación de forma manual y dispersa: asegurados en una planilla, pólizas en otra, comisiones de cada aseguradora en archivos sueltos, y cobranza reconstruida a mano al cierre de cada mes. Esto genera errores, duplica trabajo y hace casi imposible tener una vista consolidada del negocio en tiempo real.</w:t>
      </w:r>
    </w:p>
    <w:p>
      <w:pPr>
        <w:pStyle w:val="Heading2"/>
        <w:spacing w:after="180" w:before="360"/>
      </w:pPr>
      <w:r>
        <w:t xml:space="preserve">Qué es BrokerCore</w:t>
      </w:r>
    </w:p>
    <w:p>
      <w:pPr>
        <w:spacing w:after="160"/>
      </w:pPr>
      <w:r>
        <w:t xml:space="preserve">Un sistema de gestión integral, web, para corredoras de seguros, que centraliza toda la operación en una única plataforma accesible desde cualquier navegador.</w:t>
      </w:r>
    </w:p>
    <w:p>
      <w:pPr>
        <w:pStyle w:val="Heading2"/>
        <w:spacing w:after="180" w:before="360"/>
      </w:pPr>
      <w:r>
        <w:t xml:space="preserve">Para quién es</w:t>
      </w:r>
    </w:p>
    <w:p>
      <w:pPr>
        <w:spacing w:after="160"/>
      </w:pPr>
      <w:r>
        <w:t xml:space="preserve">Corredoras de seguros venezolanas que necesitan centralizar su operación diaria, gestionar comisiones de múltiples aseguradoras y generar reportes internos y regulatorios (Sudaseg) sin depender de planillas dispersas.</w:t>
      </w:r>
    </w:p>
    <w:p>
      <w:pPr>
        <w:pStyle w:val="Heading2"/>
        <w:spacing w:after="180" w:before="360"/>
      </w:pPr>
      <w:r>
        <w:t xml:space="preserve">Módulos principales</w:t>
      </w:r>
    </w:p>
    <w:p>
      <w:pPr>
        <w:pStyle w:val="ListParagraph"/>
        <w:numPr>
          <w:ilvl w:val="0"/>
          <w:numId w:val="1"/>
        </w:numPr>
        <w:spacing w:after="80"/>
      </w:pPr>
      <w:r>
        <w:t xml:space="preserve">Asegurados — registro y búsqueda de personas aseguradas por cédula de identidad.</w:t>
      </w:r>
    </w:p>
    <w:p>
      <w:pPr>
        <w:pStyle w:val="ListParagraph"/>
        <w:numPr>
          <w:ilvl w:val="0"/>
          <w:numId w:val="1"/>
        </w:numPr>
        <w:spacing w:after="80"/>
      </w:pPr>
      <w:r>
        <w:t xml:space="preserve">Pólizas — ciclo completo (Persona/HCM, Auto, Patrimonial, Viaje, Fianza): alta, renovación, pagos y anulación.</w:t>
      </w:r>
    </w:p>
    <w:p>
      <w:pPr>
        <w:pStyle w:val="ListParagraph"/>
        <w:numPr>
          <w:ilvl w:val="0"/>
          <w:numId w:val="1"/>
        </w:numPr>
        <w:spacing w:after="80"/>
      </w:pPr>
      <w:r>
        <w:t xml:space="preserve">Siniestros — Carta Aval, Reembolso médico y Siniestro de Auto, con seguimiento por notas.</w:t>
      </w:r>
    </w:p>
    <w:p>
      <w:pPr>
        <w:pStyle w:val="ListParagraph"/>
        <w:numPr>
          <w:ilvl w:val="0"/>
          <w:numId w:val="1"/>
        </w:numPr>
        <w:spacing w:after="80"/>
      </w:pPr>
      <w:r>
        <w:t xml:space="preserve">Comisiones — registro de comisiones recibidas de las aseguradoras y reportes por ejecutivo.</w:t>
      </w:r>
    </w:p>
    <w:p>
      <w:pPr>
        <w:pStyle w:val="ListParagraph"/>
        <w:numPr>
          <w:ilvl w:val="0"/>
          <w:numId w:val="1"/>
        </w:numPr>
        <w:spacing w:after="80"/>
      </w:pPr>
      <w:r>
        <w:t xml:space="preserve">Cobranza — seguimiento de cobros de primas y proyección anual.</w:t>
      </w:r>
    </w:p>
    <w:p>
      <w:pPr>
        <w:pStyle w:val="ListParagraph"/>
        <w:numPr>
          <w:ilvl w:val="0"/>
          <w:numId w:val="1"/>
        </w:numPr>
        <w:spacing w:after="80"/>
      </w:pPr>
      <w:r>
        <w:t xml:space="preserve">Reportes — dashboard de negocio y reporte regulatorio Sudaseg.</w:t>
      </w:r>
    </w:p>
    <w:p>
      <w:pPr>
        <w:pStyle w:val="Heading2"/>
        <w:spacing w:after="180" w:before="360"/>
      </w:pPr>
      <w:r>
        <w:t xml:space="preserve">Stack tecnológico actual</w:t>
      </w:r>
    </w:p>
    <w:p>
      <w:pPr>
        <w:spacing w:after="160"/>
      </w:pPr>
      <w:r>
        <w:t xml:space="preserve">Flask (Python) + MySQL/TiDB Cloud vía PyMySQL, sin ORM, con Jinja2 + Sneat Bootstrap 5 para la interfaz.</w:t>
      </w:r>
    </w:p>
    <w:p>
      <w:pPr>
        <w:pStyle w:val="Heading2"/>
        <w:spacing w:after="180" w:before="360"/>
      </w:pPr>
      <w:r>
        <w:t xml:space="preserve">Estado de despliegue</w:t>
      </w:r>
    </w:p>
    <w:p>
      <w:pPr>
        <w:spacing w:after="160"/>
      </w:pPr>
      <w:r>
        <w:t xml:space="preserve">En producción en Render.com, con Docker disponible como alternativa de despliegue portable (mismo código, cualquier proveedor con soporte de contenedores).</w:t>
      </w:r>
    </w:p>
    <w:p>
      <w:pPr>
        <w:pStyle w:val="Heading1"/>
        <w:pageBreakBefore/>
        <w:spacing w:after="240" w:before="480"/>
      </w:pPr>
      <w:r>
        <w:t xml:space="preserve">2. Alcance funcional</w:t>
      </w:r>
    </w:p>
    <w:p>
      <w:pPr>
        <w:spacing w:after="160"/>
      </w:pPr>
      <w:r>
        <w:t xml:space="preserve">Esta sección describe, módulo por módulo, las funcionalidades y reglas de negocio concretas implementadas en BrokerCore, tal como están documentadas en las guías de usuario del sistema.</w:t>
      </w:r>
    </w:p>
    <w:p>
      <w:pPr>
        <w:pStyle w:val="Heading2"/>
        <w:spacing w:after="180" w:before="360"/>
      </w:pPr>
      <w:r>
        <w:t xml:space="preserve">2.1 Asegurados</w:t>
      </w:r>
    </w:p>
    <w:p>
      <w:pPr>
        <w:spacing w:after="160"/>
      </w:pPr>
      <w:r>
        <w:t xml:space="preserve">Un asegurado es la persona natural registrada en BrokerCore que tiene una o más pólizas de seguro gestionadas por la corredora. Es la entidad central del sistema: todas las pólizas, siniestros y operaciones se vinculan a un asegurado. El identificador único de cada asegurado es su cédula de identidad (CI); el sistema no permite registrar dos asegurados con la misma cédula.</w:t>
      </w:r>
    </w:p>
    <w:p>
      <w:pPr>
        <w:pStyle w:val="ListParagraph"/>
        <w:numPr>
          <w:ilvl w:val="0"/>
          <w:numId w:val="1"/>
        </w:numPr>
        <w:spacing w:after="80"/>
      </w:pPr>
      <w:r>
        <w:t xml:space="preserve">Alta de asegurado con los campos: CI (obligatorio, solo números), Nombre (obligatorio), Apellido (obligatorio), Profesión, Localidad, Canal de venta y Ejecutivo responsable (estos cuatro últimos opcionales).</w:t>
      </w:r>
    </w:p>
    <w:p>
      <w:pPr>
        <w:pStyle w:val="ListParagraph"/>
        <w:numPr>
          <w:ilvl w:val="0"/>
          <w:numId w:val="1"/>
        </w:numPr>
        <w:spacing w:after="80"/>
      </w:pPr>
      <w:r>
        <w:t xml:space="preserve">Búsqueda en tiempo real por número de cédula, nombre o apellido, y filtro adicional por ejecutivo.</w:t>
      </w:r>
    </w:p>
    <w:p>
      <w:pPr>
        <w:pStyle w:val="ListParagraph"/>
        <w:numPr>
          <w:ilvl w:val="0"/>
          <w:numId w:val="1"/>
        </w:numPr>
        <w:spacing w:after="80"/>
      </w:pPr>
      <w:r>
        <w:t xml:space="preserve">Edición de todos los campos excepto la cédula, que no puede modificarse una vez creado el registro por ser la clave que vincula al asegurado con sus pólizas y siniestros.</w:t>
      </w:r>
    </w:p>
    <w:p>
      <w:pPr>
        <w:pStyle w:val="ListParagraph"/>
        <w:numPr>
          <w:ilvl w:val="0"/>
          <w:numId w:val="1"/>
        </w:numPr>
        <w:spacing w:after="80"/>
      </w:pPr>
      <w:r>
        <w:t xml:space="preserve">Vista de detalle con información personal completa y listado de pólizas activas y vencidas asociadas, con acceso directo a cada póliza; desde esta vista se puede crear una nueva póliza vinculada a la persona.</w:t>
      </w:r>
    </w:p>
    <w:p>
      <w:pPr>
        <w:pStyle w:val="ListParagraph"/>
        <w:numPr>
          <w:ilvl w:val="0"/>
          <w:numId w:val="1"/>
        </w:numPr>
        <w:spacing w:after="80"/>
      </w:pPr>
      <w:r>
        <w:t xml:space="preserve">Validación de cédula duplicada al registrar.</w:t>
      </w:r>
    </w:p>
    <w:p>
      <w:pPr>
        <w:pStyle w:val="ListParagraph"/>
        <w:numPr>
          <w:ilvl w:val="0"/>
          <w:numId w:val="1"/>
        </w:numPr>
        <w:spacing w:after="80"/>
      </w:pPr>
      <w:r>
        <w:t xml:space="preserve">Un asegurado no puede eliminarse mientras tenga pólizas activas asociadas; primero deben anularse o transferirse todas sus pólizas.</w:t>
      </w:r>
    </w:p>
    <w:p>
      <w:pPr>
        <w:pStyle w:val="Heading2"/>
        <w:spacing w:after="180" w:before="360"/>
      </w:pPr>
      <w:r>
        <w:t xml:space="preserve">2.2 Pólizas</w:t>
      </w:r>
    </w:p>
    <w:p>
      <w:pPr>
        <w:spacing w:after="160"/>
      </w:pPr>
      <w:r>
        <w:t xml:space="preserve">Una póliza es el contrato de seguro que vincula a un asegurado con una compañía aseguradora, gestionado a través de la corredora. Es la entidad central de la operación: alrededor de ella se registran pagos, renovaciones y siniestros. Su ciclo de vida es: creación → activa → renovación → pago de prima → vigente → (siniestro, si aplica) → renovación al vencimiento o anulación.</w:t>
      </w:r>
    </w:p>
    <w:p>
      <w:pPr>
        <w:pStyle w:val="Heading3"/>
        <w:spacing w:after="140" w:before="280"/>
      </w:pPr>
      <w:r>
        <w:t xml:space="preserve">Tipos de póliza</w:t>
      </w:r>
    </w:p>
    <w:p>
      <w:pPr>
        <w:spacing w:after="160"/>
      </w:pPr>
      <w:r>
        <w:t xml:space="preserve">BrokerCore maneja cinco tipos de póliza, cada uno con campos específicos: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shd w:fill="1F3864" w:color="1F3864" w:val="solid"/>
            <w:tcMar>
              <w:top w:type="dxa" w:w="100"/>
              <w:left w:type="dxa" w:w="120"/>
              <w:bottom w:type="dxa" w:w="100"/>
              <w:right w:type="dxa" w:w="120"/>
            </w:tcMar>
            <w:vAlign w:val="center"/>
          </w:tcPr>
          <w:p>
            <w:r>
              <w:rPr>
                <w:b/>
                <w:bCs/>
                <w:color w:val="FFFFFF"/>
              </w:rPr>
              <w:t xml:space="preserve">Tipo</w:t>
            </w:r>
          </w:p>
        </w:tc>
        <w:tc>
          <w:tcPr>
            <w:shd w:fill="1F3864" w:color="1F3864" w:val="solid"/>
            <w:tcMar>
              <w:top w:type="dxa" w:w="100"/>
              <w:left w:type="dxa" w:w="120"/>
              <w:bottom w:type="dxa" w:w="100"/>
              <w:right w:type="dxa" w:w="120"/>
            </w:tcMar>
            <w:vAlign w:val="center"/>
          </w:tcPr>
          <w:p>
            <w:r>
              <w:rPr>
                <w:b/>
                <w:bCs/>
                <w:color w:val="FFFFFF"/>
              </w:rPr>
              <w:t xml:space="preserve">Ramo</w:t>
            </w:r>
          </w:p>
        </w:tc>
        <w:tc>
          <w:tcPr>
            <w:shd w:fill="1F3864" w:color="1F3864" w:val="solid"/>
            <w:tcMar>
              <w:top w:type="dxa" w:w="100"/>
              <w:left w:type="dxa" w:w="120"/>
              <w:bottom w:type="dxa" w:w="100"/>
              <w:right w:type="dxa" w:w="120"/>
            </w:tcMar>
            <w:vAlign w:val="center"/>
          </w:tcPr>
          <w:p>
            <w:r>
              <w:rPr>
                <w:b/>
                <w:bCs/>
                <w:color w:val="FFFFFF"/>
              </w:rPr>
              <w:t xml:space="preserve">Descripción</w:t>
            </w:r>
          </w:p>
        </w:tc>
      </w:tr>
      <w:tr>
        <w:tc>
          <w:tcPr>
            <w:tcMar>
              <w:top w:type="dxa" w:w="80"/>
              <w:left w:type="dxa" w:w="120"/>
              <w:bottom w:type="dxa" w:w="80"/>
              <w:right w:type="dxa" w:w="120"/>
            </w:tcMar>
            <w:vAlign w:val="center"/>
          </w:tcPr>
          <w:p>
            <w:r>
              <w:t xml:space="preserve">Persona / HCM</w:t>
            </w:r>
          </w:p>
        </w:tc>
        <w:tc>
          <w:tcPr>
            <w:tcMar>
              <w:top w:type="dxa" w:w="80"/>
              <w:left w:type="dxa" w:w="120"/>
              <w:bottom w:type="dxa" w:w="80"/>
              <w:right w:type="dxa" w:w="120"/>
            </w:tcMar>
            <w:vAlign w:val="center"/>
          </w:tcPr>
          <w:p>
            <w:r>
              <w:t xml:space="preserve">Hospitalización, Cirugía y Maternidad</w:t>
            </w:r>
          </w:p>
        </w:tc>
        <w:tc>
          <w:tcPr>
            <w:tcMar>
              <w:top w:type="dxa" w:w="80"/>
              <w:left w:type="dxa" w:w="120"/>
              <w:bottom w:type="dxa" w:w="80"/>
              <w:right w:type="dxa" w:w="120"/>
            </w:tcMar>
            <w:vAlign w:val="center"/>
          </w:tcPr>
          <w:p>
            <w:r>
              <w:t xml:space="preserve">Seguro de salud individual o colectivo. Cubre gastos médicos, hospitalización y maternidad.</w:t>
            </w:r>
          </w:p>
        </w:tc>
      </w:tr>
      <w:tr>
        <w:tc>
          <w:tcPr>
            <w:tcMar>
              <w:top w:type="dxa" w:w="80"/>
              <w:left w:type="dxa" w:w="120"/>
              <w:bottom w:type="dxa" w:w="80"/>
              <w:right w:type="dxa" w:w="120"/>
            </w:tcMar>
            <w:vAlign w:val="center"/>
          </w:tcPr>
          <w:p>
            <w:r>
              <w:t xml:space="preserve">Auto</w:t>
            </w:r>
          </w:p>
        </w:tc>
        <w:tc>
          <w:tcPr>
            <w:tcMar>
              <w:top w:type="dxa" w:w="80"/>
              <w:left w:type="dxa" w:w="120"/>
              <w:bottom w:type="dxa" w:w="80"/>
              <w:right w:type="dxa" w:w="120"/>
            </w:tcMar>
            <w:vAlign w:val="center"/>
          </w:tcPr>
          <w:p>
            <w:r>
              <w:t xml:space="preserve">Automóvil</w:t>
            </w:r>
          </w:p>
        </w:tc>
        <w:tc>
          <w:tcPr>
            <w:tcMar>
              <w:top w:type="dxa" w:w="80"/>
              <w:left w:type="dxa" w:w="120"/>
              <w:bottom w:type="dxa" w:w="80"/>
              <w:right w:type="dxa" w:w="120"/>
            </w:tcMar>
            <w:vAlign w:val="center"/>
          </w:tcPr>
          <w:p>
            <w:r>
              <w:t xml:space="preserve">Seguro de vehículo. Incluye datos del vehículo (marca, modelo, año, placa).</w:t>
            </w:r>
          </w:p>
        </w:tc>
      </w:tr>
      <w:tr>
        <w:tc>
          <w:tcPr>
            <w:tcMar>
              <w:top w:type="dxa" w:w="80"/>
              <w:left w:type="dxa" w:w="120"/>
              <w:bottom w:type="dxa" w:w="80"/>
              <w:right w:type="dxa" w:w="120"/>
            </w:tcMar>
            <w:vAlign w:val="center"/>
          </w:tcPr>
          <w:p>
            <w:r>
              <w:t xml:space="preserve">Patrimonial</w:t>
            </w:r>
          </w:p>
        </w:tc>
        <w:tc>
          <w:tcPr>
            <w:tcMar>
              <w:top w:type="dxa" w:w="80"/>
              <w:left w:type="dxa" w:w="120"/>
              <w:bottom w:type="dxa" w:w="80"/>
              <w:right w:type="dxa" w:w="120"/>
            </w:tcMar>
            <w:vAlign w:val="center"/>
          </w:tcPr>
          <w:p>
            <w:r>
              <w:t xml:space="preserve">Patrimonio / Incendio</w:t>
            </w:r>
          </w:p>
        </w:tc>
        <w:tc>
          <w:tcPr>
            <w:tcMar>
              <w:top w:type="dxa" w:w="80"/>
              <w:left w:type="dxa" w:w="120"/>
              <w:bottom w:type="dxa" w:w="80"/>
              <w:right w:type="dxa" w:w="120"/>
            </w:tcMar>
            <w:vAlign w:val="center"/>
          </w:tcPr>
          <w:p>
            <w:r>
              <w:t xml:space="preserve">Seguro de bienes: inmuebles, contenido, equipos.</w:t>
            </w:r>
          </w:p>
        </w:tc>
      </w:tr>
      <w:tr>
        <w:tc>
          <w:tcPr>
            <w:tcMar>
              <w:top w:type="dxa" w:w="80"/>
              <w:left w:type="dxa" w:w="120"/>
              <w:bottom w:type="dxa" w:w="80"/>
              <w:right w:type="dxa" w:w="120"/>
            </w:tcMar>
            <w:vAlign w:val="center"/>
          </w:tcPr>
          <w:p>
            <w:r>
              <w:t xml:space="preserve">Viaje</w:t>
            </w:r>
          </w:p>
        </w:tc>
        <w:tc>
          <w:tcPr>
            <w:tcMar>
              <w:top w:type="dxa" w:w="80"/>
              <w:left w:type="dxa" w:w="120"/>
              <w:bottom w:type="dxa" w:w="80"/>
              <w:right w:type="dxa" w:w="120"/>
            </w:tcMar>
            <w:vAlign w:val="center"/>
          </w:tcPr>
          <w:p>
            <w:r>
              <w:t xml:space="preserve">Viaje</w:t>
            </w:r>
          </w:p>
        </w:tc>
        <w:tc>
          <w:tcPr>
            <w:tcMar>
              <w:top w:type="dxa" w:w="80"/>
              <w:left w:type="dxa" w:w="120"/>
              <w:bottom w:type="dxa" w:w="80"/>
              <w:right w:type="dxa" w:w="120"/>
            </w:tcMar>
            <w:vAlign w:val="center"/>
          </w:tcPr>
          <w:p>
            <w:r>
              <w:t xml:space="preserve">Seguro de asistencia en viaje internacional. Generalmente de corta duración.</w:t>
            </w:r>
          </w:p>
        </w:tc>
      </w:tr>
      <w:tr>
        <w:tc>
          <w:tcPr>
            <w:tcMar>
              <w:top w:type="dxa" w:w="80"/>
              <w:left w:type="dxa" w:w="120"/>
              <w:bottom w:type="dxa" w:w="80"/>
              <w:right w:type="dxa" w:w="120"/>
            </w:tcMar>
            <w:vAlign w:val="center"/>
          </w:tcPr>
          <w:p>
            <w:r>
              <w:t xml:space="preserve">Fianza</w:t>
            </w:r>
          </w:p>
        </w:tc>
        <w:tc>
          <w:tcPr>
            <w:tcMar>
              <w:top w:type="dxa" w:w="80"/>
              <w:left w:type="dxa" w:w="120"/>
              <w:bottom w:type="dxa" w:w="80"/>
              <w:right w:type="dxa" w:w="120"/>
            </w:tcMar>
            <w:vAlign w:val="center"/>
          </w:tcPr>
          <w:p>
            <w:r>
              <w:t xml:space="preserve">Fianza</w:t>
            </w:r>
          </w:p>
        </w:tc>
        <w:tc>
          <w:tcPr>
            <w:tcMar>
              <w:top w:type="dxa" w:w="80"/>
              <w:left w:type="dxa" w:w="120"/>
              <w:bottom w:type="dxa" w:w="80"/>
              <w:right w:type="dxa" w:w="120"/>
            </w:tcMar>
            <w:vAlign w:val="center"/>
          </w:tcPr>
          <w:p>
            <w:r>
              <w:t xml:space="preserve">Garantía de cumplimiento de obligaciones contractuales.</w:t>
            </w:r>
          </w:p>
        </w:tc>
      </w:tr>
    </w:tbl>
    <w:p>
      <w:pPr>
        <w:pStyle w:val="Heading3"/>
        <w:spacing w:after="140" w:before="280"/>
      </w:pPr>
      <w:r>
        <w:t xml:space="preserve">Alta de póliza</w:t>
      </w:r>
    </w:p>
    <w:p>
      <w:pPr>
        <w:pStyle w:val="ListParagraph"/>
        <w:numPr>
          <w:ilvl w:val="0"/>
          <w:numId w:val="1"/>
        </w:numPr>
        <w:spacing w:after="80"/>
      </w:pPr>
      <w:r>
        <w:t xml:space="preserve">Campos comunes a todos los tipos: código de póliza (cod_poliza, asignado por la aseguradora), compañía, asegurado (por cédula o nombre), ramo, prima, frecuencia de pago (Mensual, Trimestral, Semestral, Anual), moneda (Bs o USD), fecha de inicio, fecha de vencimiento y ejecutivo responsable (opcional) — todos obligatorios salvo el ejecutivo.</w:t>
      </w:r>
    </w:p>
    <w:p>
      <w:pPr>
        <w:pStyle w:val="ListParagraph"/>
        <w:numPr>
          <w:ilvl w:val="0"/>
          <w:numId w:val="1"/>
        </w:numPr>
        <w:spacing w:after="80"/>
      </w:pPr>
      <w:r>
        <w:t xml:space="preserve">Campos adicionales exclusivos de pólizas de Auto: marca, modelo, año, placa, número de serial (VIN) y color.</w:t>
      </w:r>
    </w:p>
    <w:p>
      <w:pPr>
        <w:pStyle w:val="ListParagraph"/>
        <w:numPr>
          <w:ilvl w:val="0"/>
          <w:numId w:val="1"/>
        </w:numPr>
        <w:spacing w:after="80"/>
      </w:pPr>
      <w:r>
        <w:t xml:space="preserve">El código de póliza debe ingresarse exactamente como figura en los documentos de la aseguradora, ya que es el identificador que el módulo de Comisiones usa para el emparejamiento.</w:t>
      </w:r>
    </w:p>
    <w:p>
      <w:pPr>
        <w:pStyle w:val="Heading3"/>
        <w:spacing w:after="140" w:before="280"/>
      </w:pPr>
      <w:r>
        <w:t xml:space="preserve">Renovaciones</w:t>
      </w:r>
    </w:p>
    <w:p>
      <w:pPr>
        <w:pStyle w:val="ListParagraph"/>
        <w:numPr>
          <w:ilvl w:val="0"/>
          <w:numId w:val="1"/>
        </w:numPr>
        <w:spacing w:after="80"/>
      </w:pPr>
      <w:r>
        <w:t xml:space="preserve">Cada renovación al vencimiento crea un registro de renovación vinculado a la póliza original, preservando el historial completo.</w:t>
      </w:r>
    </w:p>
    <w:p>
      <w:pPr>
        <w:pStyle w:val="ListParagraph"/>
        <w:numPr>
          <w:ilvl w:val="0"/>
          <w:numId w:val="1"/>
        </w:numPr>
        <w:spacing w:after="80"/>
      </w:pPr>
      <w:r>
        <w:t xml:space="preserve">Al renovar se ingresa nueva fecha de vencimiento y prima actualizada; el nuevo registro se crea con estado "Pendiente de pago", mientras la póliza activa se mantiene.</w:t>
      </w:r>
    </w:p>
    <w:p>
      <w:pPr>
        <w:pStyle w:val="ListParagraph"/>
        <w:numPr>
          <w:ilvl w:val="0"/>
          <w:numId w:val="1"/>
        </w:numPr>
        <w:spacing w:after="80"/>
      </w:pPr>
      <w:r>
        <w:t xml:space="preserve">Estados de renovación: Pendiente de pago, Pagada y Anulada.</w:t>
      </w:r>
    </w:p>
    <w:p>
      <w:pPr>
        <w:pStyle w:val="Heading3"/>
        <w:spacing w:after="140" w:before="280"/>
      </w:pPr>
      <w:r>
        <w:t xml:space="preserve">Pagos de prima</w:t>
      </w:r>
    </w:p>
    <w:p>
      <w:pPr>
        <w:pStyle w:val="ListParagraph"/>
        <w:numPr>
          <w:ilvl w:val="0"/>
          <w:numId w:val="1"/>
        </w:numPr>
        <w:spacing w:after="80"/>
      </w:pPr>
      <w:r>
        <w:t xml:space="preserve">Registro de pago con monto, moneda, tasa de cambio, método de pago (efectivo, transferencia, punto de venta, Zelle, etc.), número de cuota y referencia opcional.</w:t>
      </w:r>
    </w:p>
    <w:p>
      <w:pPr>
        <w:pStyle w:val="ListParagraph"/>
        <w:numPr>
          <w:ilvl w:val="0"/>
          <w:numId w:val="1"/>
        </w:numPr>
        <w:spacing w:after="80"/>
      </w:pPr>
      <w:r>
        <w:t xml:space="preserve">La tasa de cambio BCV se puede obtener automáticamente desde el servicio pyDolarVenezuela (requiere conexión a internet); si no está disponible, se ingresa manualmente.</w:t>
      </w:r>
    </w:p>
    <w:p>
      <w:pPr>
        <w:pStyle w:val="Heading3"/>
        <w:spacing w:after="140" w:before="280"/>
      </w:pPr>
      <w:r>
        <w:t xml:space="preserve">Traspaso y anulación</w:t>
      </w:r>
    </w:p>
    <w:p>
      <w:pPr>
        <w:pStyle w:val="ListParagraph"/>
        <w:numPr>
          <w:ilvl w:val="0"/>
          <w:numId w:val="1"/>
        </w:numPr>
        <w:spacing w:after="80"/>
      </w:pPr>
      <w:r>
        <w:t xml:space="preserve">Traspaso: permite cambiar el ejecutivo responsable de una póliza, manteniendo el historial completo.</w:t>
      </w:r>
    </w:p>
    <w:p>
      <w:pPr>
        <w:pStyle w:val="ListParagraph"/>
        <w:numPr>
          <w:ilvl w:val="0"/>
          <w:numId w:val="1"/>
        </w:numPr>
        <w:spacing w:after="80"/>
      </w:pPr>
      <w:r>
        <w:t xml:space="preserve">Anulación: marca la póliza como "Anulada" sin eliminar el registro, preservando el historial. Una póliza anulada no genera registros de comisión ni aparece en los reportes de cartera activa.</w:t>
      </w:r>
    </w:p>
    <w:p>
      <w:pPr>
        <w:pStyle w:val="Heading3"/>
        <w:spacing w:after="140" w:before="280"/>
      </w:pPr>
      <w:r>
        <w:t xml:space="preserve">Búsqueda y filtros</w:t>
      </w:r>
    </w:p>
    <w:p>
      <w:pPr>
        <w:pStyle w:val="ListParagraph"/>
        <w:numPr>
          <w:ilvl w:val="0"/>
          <w:numId w:val="1"/>
        </w:numPr>
        <w:spacing w:after="80"/>
      </w:pPr>
      <w:r>
        <w:t xml:space="preserve">El listado permite filtrar por tipo de póliza, compañía aseguradora, estado (Activa, Vencida, Anulada), ejecutivo responsable y rango de fechas de vencimiento, para identificar pólizas próximas a vencer y gestionar renovaciones preventivamente.</w:t>
      </w:r>
    </w:p>
    <w:p>
      <w:pPr>
        <w:pStyle w:val="Heading2"/>
        <w:spacing w:after="180" w:before="360"/>
      </w:pPr>
      <w:r>
        <w:t xml:space="preserve">2.3 Siniestros</w:t>
      </w:r>
    </w:p>
    <w:p>
      <w:pPr>
        <w:spacing w:after="160"/>
      </w:pPr>
      <w:r>
        <w:t xml:space="preserve">Un siniestro es el evento cubierto por la póliza que genera una reclamación ante la aseguradora. BrokerCore gestiona tres tipos de siniestro, cada uno con un flujo y campos distintos: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00"/>
      </w:tblGrid>
      <w:tr>
        <w:trPr>
          <w:tblHeader/>
        </w:trPr>
        <w:tc>
          <w:tcPr>
            <w:shd w:fill="1F3864" w:color="1F3864" w:val="solid"/>
            <w:tcMar>
              <w:top w:type="dxa" w:w="100"/>
              <w:left w:type="dxa" w:w="120"/>
              <w:bottom w:type="dxa" w:w="100"/>
              <w:right w:type="dxa" w:w="120"/>
            </w:tcMar>
            <w:vAlign w:val="center"/>
          </w:tcPr>
          <w:p>
            <w:r>
              <w:rPr>
                <w:b/>
                <w:bCs/>
                <w:color w:val="FFFFFF"/>
              </w:rPr>
              <w:t xml:space="preserve">Tipo</w:t>
            </w:r>
          </w:p>
        </w:tc>
        <w:tc>
          <w:tcPr>
            <w:shd w:fill="1F3864" w:color="1F3864" w:val="solid"/>
            <w:tcMar>
              <w:top w:type="dxa" w:w="100"/>
              <w:left w:type="dxa" w:w="120"/>
              <w:bottom w:type="dxa" w:w="100"/>
              <w:right w:type="dxa" w:w="120"/>
            </w:tcMar>
            <w:vAlign w:val="center"/>
          </w:tcPr>
          <w:p>
            <w:r>
              <w:rPr>
                <w:b/>
                <w:bCs/>
                <w:color w:val="FFFFFF"/>
              </w:rPr>
              <w:t xml:space="preserve">Cuándo se usa</w:t>
            </w:r>
          </w:p>
        </w:tc>
        <w:tc>
          <w:tcPr>
            <w:shd w:fill="1F3864" w:color="1F3864" w:val="solid"/>
            <w:tcMar>
              <w:top w:type="dxa" w:w="100"/>
              <w:left w:type="dxa" w:w="120"/>
              <w:bottom w:type="dxa" w:w="100"/>
              <w:right w:type="dxa" w:w="120"/>
            </w:tcMar>
            <w:vAlign w:val="center"/>
          </w:tcPr>
          <w:p>
            <w:r>
              <w:rPr>
                <w:b/>
                <w:bCs/>
                <w:color w:val="FFFFFF"/>
              </w:rPr>
              <w:t xml:space="preserve">Flujo típico</w:t>
            </w:r>
          </w:p>
        </w:tc>
      </w:tr>
      <w:tr>
        <w:tc>
          <w:tcPr>
            <w:tcMar>
              <w:top w:type="dxa" w:w="80"/>
              <w:left w:type="dxa" w:w="120"/>
              <w:bottom w:type="dxa" w:w="80"/>
              <w:right w:type="dxa" w:w="120"/>
            </w:tcMar>
            <w:vAlign w:val="center"/>
          </w:tcPr>
          <w:p>
            <w:r>
              <w:t xml:space="preserve">Carta Aval</w:t>
            </w:r>
          </w:p>
        </w:tc>
        <w:tc>
          <w:tcPr>
            <w:tcMar>
              <w:top w:type="dxa" w:w="80"/>
              <w:left w:type="dxa" w:w="120"/>
              <w:bottom w:type="dxa" w:w="80"/>
              <w:right w:type="dxa" w:w="120"/>
            </w:tcMar>
            <w:vAlign w:val="center"/>
          </w:tcPr>
          <w:p>
            <w:r>
              <w:t xml:space="preserve">Cirugías programadas, hospitalizaciones planificadas y procedimientos médicos de alto costo que requieren pre-autorización.</w:t>
            </w:r>
          </w:p>
        </w:tc>
        <w:tc>
          <w:tcPr>
            <w:tcMar>
              <w:top w:type="dxa" w:w="80"/>
              <w:left w:type="dxa" w:w="120"/>
              <w:bottom w:type="dxa" w:w="80"/>
              <w:right w:type="dxa" w:w="120"/>
            </w:tcMar>
            <w:vAlign w:val="center"/>
          </w:tcPr>
          <w:p>
            <w:r>
              <w:t xml:space="preserve">La clínica o el asegurado contacta a la corredora → la corredora crea la Carta Aval y la gestiona ante la aseguradora → la aseguradora aprueba o rechaza → si se aprueba, la clínica factura directamente a la aseguradora.</w:t>
            </w:r>
          </w:p>
        </w:tc>
      </w:tr>
      <w:tr>
        <w:tc>
          <w:tcPr>
            <w:tcMar>
              <w:top w:type="dxa" w:w="80"/>
              <w:left w:type="dxa" w:w="120"/>
              <w:bottom w:type="dxa" w:w="80"/>
              <w:right w:type="dxa" w:w="120"/>
            </w:tcMar>
            <w:vAlign w:val="center"/>
          </w:tcPr>
          <w:p>
            <w:r>
              <w:t xml:space="preserve">Reembolso</w:t>
            </w:r>
          </w:p>
        </w:tc>
        <w:tc>
          <w:tcPr>
            <w:tcMar>
              <w:top w:type="dxa" w:w="80"/>
              <w:left w:type="dxa" w:w="120"/>
              <w:bottom w:type="dxa" w:w="80"/>
              <w:right w:type="dxa" w:w="120"/>
            </w:tcMar>
            <w:vAlign w:val="center"/>
          </w:tcPr>
          <w:p>
            <w:r>
              <w:t xml:space="preserve">El asegurado pagó de su bolsillo: clínica no afiliada, emergencia sin tiempo de gestionar Carta Aval, o medicamentos/tratamientos ambulatorios cubiertos.</w:t>
            </w:r>
          </w:p>
        </w:tc>
        <w:tc>
          <w:tcPr>
            <w:tcMar>
              <w:top w:type="dxa" w:w="80"/>
              <w:left w:type="dxa" w:w="120"/>
              <w:bottom w:type="dxa" w:w="80"/>
              <w:right w:type="dxa" w:w="120"/>
            </w:tcMar>
            <w:vAlign w:val="center"/>
          </w:tcPr>
          <w:p>
            <w:r>
              <w:t xml:space="preserve">El asegurado entrega facturas y documentos a la corredora → se crea el Reembolso con el monto reclamado → se gestiona ante la aseguradora y se hace seguimiento → se actualiza el estado cuando la aseguradora procesa el pago.</w:t>
            </w:r>
          </w:p>
        </w:tc>
      </w:tr>
      <w:tr>
        <w:tc>
          <w:tcPr>
            <w:tcMar>
              <w:top w:type="dxa" w:w="80"/>
              <w:left w:type="dxa" w:w="120"/>
              <w:bottom w:type="dxa" w:w="80"/>
              <w:right w:type="dxa" w:w="120"/>
            </w:tcMar>
            <w:vAlign w:val="center"/>
          </w:tcPr>
          <w:p>
            <w:r>
              <w:t xml:space="preserve">Siniestro Auto</w:t>
            </w:r>
          </w:p>
        </w:tc>
        <w:tc>
          <w:tcPr>
            <w:tcMar>
              <w:top w:type="dxa" w:w="80"/>
              <w:left w:type="dxa" w:w="120"/>
              <w:bottom w:type="dxa" w:w="80"/>
              <w:right w:type="dxa" w:w="120"/>
            </w:tcMar>
            <w:vAlign w:val="center"/>
          </w:tcPr>
          <w:p>
            <w:r>
              <w:t xml:space="preserve">Accidente de tránsito, daños por fenómenos naturales, robo total o parcial, daños a terceros causados por el vehículo asegurado.</w:t>
            </w:r>
          </w:p>
        </w:tc>
        <w:tc>
          <w:tcPr>
            <w:tcMar>
              <w:top w:type="dxa" w:w="80"/>
              <w:left w:type="dxa" w:w="120"/>
              <w:bottom w:type="dxa" w:w="80"/>
              <w:right w:type="dxa" w:w="120"/>
            </w:tcMar>
            <w:vAlign w:val="center"/>
          </w:tcPr>
          <w:p>
            <w:r>
              <w:t xml:space="preserve">El asegurado reporta el accidente → la corredora crea el Siniestro Auto con los datos del evento → se coordina el peritaje con la aseguradora → se registran notas del proceso hasta la liquidación.</w:t>
            </w:r>
          </w:p>
        </w:tc>
      </w:tr>
    </w:tbl>
    <w:p>
      <w:pPr>
        <w:pStyle w:val="Heading3"/>
        <w:spacing w:after="140" w:before="280"/>
      </w:pPr>
      <w:r>
        <w:t xml:space="preserve">Campos de registro</w:t>
      </w:r>
    </w:p>
    <w:p>
      <w:pPr>
        <w:pStyle w:val="ListParagraph"/>
        <w:numPr>
          <w:ilvl w:val="0"/>
          <w:numId w:val="1"/>
        </w:numPr>
        <w:spacing w:after="80"/>
      </w:pPr>
      <w:r>
        <w:t xml:space="preserve">Carta Aval / Reembolso: asegurado (búsqueda por cédula o nombre, con carga automática de la póliza), póliza HCM correspondiente, fecha del evento, descripción, monto reclamado (para reembolsos), clínica/centro médico y médico tratante (opcional).</w:t>
      </w:r>
    </w:p>
    <w:p>
      <w:pPr>
        <w:pStyle w:val="ListParagraph"/>
        <w:numPr>
          <w:ilvl w:val="0"/>
          <w:numId w:val="1"/>
        </w:numPr>
        <w:spacing w:after="80"/>
      </w:pPr>
      <w:r>
        <w:t xml:space="preserve">Siniestro Auto: asegurado, póliza de Auto correspondiente, fecha del accidente, descripción del evento, lugar del accidente y daños reportados.</w:t>
      </w:r>
    </w:p>
    <w:p>
      <w:pPr>
        <w:pStyle w:val="Heading3"/>
        <w:spacing w:after="140" w:before="280"/>
      </w:pPr>
      <w:r>
        <w:t xml:space="preserve">Seguimiento y estados</w:t>
      </w:r>
    </w:p>
    <w:p>
      <w:pPr>
        <w:pStyle w:val="ListParagraph"/>
        <w:numPr>
          <w:ilvl w:val="0"/>
          <w:numId w:val="1"/>
        </w:numPr>
        <w:spacing w:after="80"/>
      </w:pPr>
      <w:r>
        <w:t xml:space="preserve">Cada siniestro tiene una sección de notas para registrar respuestas de la aseguradora, documentos solicitados y entregados, fechas de seguimiento y resolución final; las notas quedan con fecha, hora y usuario que las creó.</w:t>
      </w:r>
    </w:p>
    <w:p>
      <w:pPr>
        <w:pStyle w:val="ListParagraph"/>
        <w:numPr>
          <w:ilvl w:val="0"/>
          <w:numId w:val="1"/>
        </w:numPr>
        <w:spacing w:after="80"/>
      </w:pPr>
      <w:r>
        <w:t xml:space="preserve">Estados posibles: Abierto, En revisión, Aprobado, Rechazado y Cerrado.</w:t>
      </w:r>
    </w:p>
    <w:p>
      <w:pPr>
        <w:pStyle w:val="ListParagraph"/>
        <w:numPr>
          <w:ilvl w:val="0"/>
          <w:numId w:val="1"/>
        </w:numPr>
        <w:spacing w:after="80"/>
      </w:pPr>
      <w:r>
        <w:t xml:space="preserve">Una vez cerrado, se recomienda no modificar el siniestro para preservar la integridad del historial; reabrirlo requiere contactar al administrador.</w:t>
      </w:r>
    </w:p>
    <w:p>
      <w:pPr>
        <w:pStyle w:val="ListParagraph"/>
        <w:numPr>
          <w:ilvl w:val="0"/>
          <w:numId w:val="1"/>
        </w:numPr>
        <w:spacing w:after="80"/>
      </w:pPr>
      <w:r>
        <w:t xml:space="preserve">Filtros de búsqueda: tipo de siniestro, estado, rango de fechas, asegurado (nombre o cédula) y compañía aseguradora.</w:t>
      </w:r>
    </w:p>
    <w:p>
      <w:pPr>
        <w:pStyle w:val="Heading2"/>
        <w:spacing w:after="180" w:before="360"/>
      </w:pPr>
      <w:r>
        <w:t xml:space="preserve">2.4 Comisiones</w:t>
      </w:r>
    </w:p>
    <w:p>
      <w:pPr>
        <w:spacing w:after="160"/>
      </w:pPr>
      <w:r>
        <w:t xml:space="preserve">Acceso restringido a los roles Administración y Gerencia. Las comisiones son los pagos que las aseguradoras realizan a la corredora como retribución por las pólizas gestionadas.</w:t>
      </w:r>
    </w:p>
    <w:p>
      <w:pPr>
        <w:pStyle w:val="ListParagraph"/>
        <w:numPr>
          <w:ilvl w:val="0"/>
          <w:numId w:val="1"/>
        </w:numPr>
        <w:spacing w:after="80"/>
      </w:pPr>
      <w:r>
        <w:t xml:space="preserve">Registro manual de comisión recibida (Carga Manual): se busca la póliza por número, se selecciona la cuota/recibo con estado "PAGADO" (el sistema solo muestra cuotas pagadas), y se completan monto de comisión en USD, tasa de cambio y una descripción/movimiento. Cada línea se agrega a un bloque en construcción con el botón "Agregar a Tabla".</w:t>
      </w:r>
    </w:p>
    <w:p>
      <w:pPr>
        <w:pStyle w:val="ListParagraph"/>
        <w:numPr>
          <w:ilvl w:val="0"/>
          <w:numId w:val="1"/>
        </w:numPr>
        <w:spacing w:after="80"/>
      </w:pPr>
      <w:r>
        <w:t xml:space="preserve">Los parsers automáticos por aseguradora (carga de archivo Excel/PDF con emparejamiento automático) de versiones anteriores ya no están disponibles; el registro de comisiones nuevas se hace exclusivamente por Carga Manual. Los datos cargados con el sistema anterior se conservan.</w:t>
      </w:r>
    </w:p>
    <w:p>
      <w:pPr>
        <w:pStyle w:val="ListParagraph"/>
        <w:numPr>
          <w:ilvl w:val="0"/>
          <w:numId w:val="1"/>
        </w:numPr>
        <w:spacing w:after="80"/>
      </w:pPr>
      <w:r>
        <w:t xml:space="preserve">Soporte de retenciones sobre el bloque antes de confirmarlo, mediante "Agregar Retención".</w:t>
      </w:r>
    </w:p>
    <w:p>
      <w:pPr>
        <w:pStyle w:val="ListParagraph"/>
        <w:numPr>
          <w:ilvl w:val="0"/>
          <w:numId w:val="1"/>
        </w:numPr>
        <w:spacing w:after="80"/>
      </w:pPr>
      <w:r>
        <w:t xml:space="preserve">Confirmación del bloque de pago ("Confirmar Bloque") para dejar el registro guardado en el sistema; "Otra Carga" permite descartar un bloque en construcción y empezar de nuevo antes de confirmar.</w:t>
      </w:r>
    </w:p>
    <w:p>
      <w:pPr>
        <w:pStyle w:val="ListParagraph"/>
        <w:numPr>
          <w:ilvl w:val="0"/>
          <w:numId w:val="1"/>
        </w:numPr>
        <w:spacing w:after="80"/>
      </w:pPr>
      <w:r>
        <w:t xml:space="preserve">Reportes de comisiones por ejecutivo (o consolidado "Todos"), filtrables por rango de fechas y aseguradora, exportables a Excel o PDF; muestran detalle por póliza, porcentaje de comisión aplicado, monto en Bs y USD, y subtotales por aseguradora y ejecutivo.</w:t>
      </w:r>
    </w:p>
    <w:p>
      <w:pPr>
        <w:pStyle w:val="ListParagraph"/>
        <w:numPr>
          <w:ilvl w:val="0"/>
          <w:numId w:val="1"/>
        </w:numPr>
        <w:spacing w:after="80"/>
      </w:pPr>
      <w:r>
        <w:t xml:space="preserve">Configuración de porcentajes de comisión por aseguradora y ramo (tabla comisiones_config); los cambios afectan solo comisiones nuevas, no recalculan retroactivamente.</w:t>
      </w:r>
    </w:p>
    <w:p>
      <w:pPr>
        <w:pStyle w:val="ListParagraph"/>
        <w:numPr>
          <w:ilvl w:val="0"/>
          <w:numId w:val="1"/>
        </w:numPr>
        <w:spacing w:after="80"/>
      </w:pPr>
      <w:r>
        <w:t xml:space="preserve">Marcado de bloques de comisiones como "pagadas" (tabla bloque_pago_comision), indicando que la corredora ya distribuyó esas comisiones a los ejecutivos.</w:t>
      </w:r>
    </w:p>
    <w:p>
      <w:pPr>
        <w:pStyle w:val="Heading2"/>
        <w:spacing w:after="180" w:before="360"/>
      </w:pPr>
      <w:r>
        <w:t xml:space="preserve">2.5 Cobranza</w:t>
      </w:r>
    </w:p>
    <w:p>
      <w:pPr>
        <w:spacing w:after="160"/>
      </w:pPr>
      <w:r>
        <w:t xml:space="preserve">Módulo que centraliza el seguimiento del cobro de primas: qué pagos se han recibido, cuáles están pendientes, y la proyección de ingresos esperados para el año. Es el complemento operativo del módulo de Pólizas desde la perspectiva financiera.</w:t>
      </w:r>
    </w:p>
    <w:p>
      <w:pPr>
        <w:pStyle w:val="ListParagraph"/>
        <w:numPr>
          <w:ilvl w:val="0"/>
          <w:numId w:val="1"/>
        </w:numPr>
        <w:spacing w:after="80"/>
      </w:pPr>
      <w:r>
        <w:t xml:space="preserve">Listado de pagos con columnas: fecha, asegurado, póliza, compañía, ramo, monto, moneda, método de pago, estado (Cobrado/Pendiente) y ejecutivo.</w:t>
      </w:r>
    </w:p>
    <w:p>
      <w:pPr>
        <w:pStyle w:val="ListParagraph"/>
        <w:numPr>
          <w:ilvl w:val="0"/>
          <w:numId w:val="1"/>
        </w:numPr>
        <w:spacing w:after="80"/>
      </w:pPr>
      <w:r>
        <w:t xml:space="preserve">Filtros por período (mes y año), estado, compañía, ejecutivo, moneda y ramo.</w:t>
      </w:r>
    </w:p>
    <w:p>
      <w:pPr>
        <w:pStyle w:val="ListParagraph"/>
        <w:numPr>
          <w:ilvl w:val="0"/>
          <w:numId w:val="1"/>
        </w:numPr>
        <w:spacing w:after="80"/>
      </w:pPr>
      <w:r>
        <w:t xml:space="preserve">Proyección Anual: tabla de ingresos de primas mes a mes para el año en curso, para identificar meses de mayor/menor flujo, detectar pólizas con pagos atrasados y estimar ingresos pendientes de cobro. Se calcula a partir de las pólizas activas y sus frecuencias de pago, comparado contra los pagos efectivamente registrados.</w:t>
      </w:r>
    </w:p>
    <w:p>
      <w:pPr>
        <w:pStyle w:val="ListParagraph"/>
        <w:numPr>
          <w:ilvl w:val="0"/>
          <w:numId w:val="1"/>
        </w:numPr>
        <w:spacing w:after="80"/>
      </w:pPr>
      <w:r>
        <w:t xml:space="preserve">Vista de Comisiones por Cobrar: cruza pagos con comisiones generadas, mostrando cuánto de lo cobrado corresponde a comisión de la corredora y el estado de distribución a los ejecutivos.</w:t>
      </w:r>
    </w:p>
    <w:p>
      <w:pPr>
        <w:pStyle w:val="ListParagraph"/>
        <w:numPr>
          <w:ilvl w:val="0"/>
          <w:numId w:val="1"/>
        </w:numPr>
        <w:spacing w:after="80"/>
      </w:pPr>
      <w:r>
        <w:t xml:space="preserve">Exportación a Excel de los datos filtrados de cualquier vista, incluyendo todas las columnas visibles y un resumen de totales; los archivos se generan temporalmente en static/downloads-excel/, carpeta que se limpia periódicamente.</w:t>
      </w:r>
    </w:p>
    <w:p>
      <w:pPr>
        <w:pStyle w:val="ListParagraph"/>
        <w:numPr>
          <w:ilvl w:val="0"/>
          <w:numId w:val="1"/>
        </w:numPr>
        <w:spacing w:after="80"/>
      </w:pPr>
      <w:r>
        <w:t xml:space="preserve">Registro de cobro directamente desde Cobranza (sin pasar por el módulo de Pólizas): se completan fecha, método y referencia, y la vista se actualiza en tiempo real.</w:t>
      </w:r>
    </w:p>
    <w:p>
      <w:pPr>
        <w:pStyle w:val="Heading2"/>
        <w:spacing w:after="180" w:before="360"/>
      </w:pPr>
      <w:r>
        <w:t xml:space="preserve">2.6 Ejecutivos, Compañías y Empleados</w:t>
      </w:r>
    </w:p>
    <w:p>
      <w:pPr>
        <w:spacing w:after="160"/>
      </w:pPr>
      <w:r>
        <w:t xml:space="preserve">BrokerCore gestiona tres entidades de apoyo a la operación, referenciadas de forma transversal desde Asegurados, Pólizas y Comisiones:</w:t>
      </w:r>
    </w:p>
    <w:p>
      <w:pPr>
        <w:pStyle w:val="ListParagraph"/>
        <w:numPr>
          <w:ilvl w:val="0"/>
          <w:numId w:val="1"/>
        </w:numPr>
        <w:spacing w:after="80"/>
      </w:pPr>
      <w:r>
        <w:t xml:space="preserve">Ejecutivos — el personal de ventas responsable de asegurados y pólizas; se seleccionan como responsables en los formularios de Asegurados y Pólizas, y son la base de agrupación de los reportes de comisiones y cobranza.</w:t>
      </w:r>
    </w:p>
    <w:p>
      <w:pPr>
        <w:pStyle w:val="ListParagraph"/>
        <w:numPr>
          <w:ilvl w:val="0"/>
          <w:numId w:val="1"/>
        </w:numPr>
        <w:spacing w:after="80"/>
      </w:pPr>
      <w:r>
        <w:t xml:space="preserve">Compañías — las aseguradoras con las que opera la corredora; se seleccionan al crear una póliza y son la base de agrupación de comisiones.</w:t>
      </w:r>
    </w:p>
    <w:p>
      <w:pPr>
        <w:pStyle w:val="ListParagraph"/>
        <w:numPr>
          <w:ilvl w:val="0"/>
          <w:numId w:val="1"/>
        </w:numPr>
        <w:spacing w:after="80"/>
      </w:pPr>
      <w:r>
        <w:t xml:space="preserve">Empleados — personal interno de la corredora, con carga de foto (almacenada en static/fotos_empleados/).</w:t>
      </w:r>
    </w:p>
    <w:p>
      <w:pPr>
        <w:pStyle w:val="ListParagraph"/>
        <w:numPr>
          <w:ilvl w:val="0"/>
          <w:numId w:val="1"/>
        </w:numPr>
        <w:spacing w:after="80"/>
      </w:pPr>
      <w:r>
        <w:t xml:space="preserve">El rol Operaciones tiene CRUD completo sobre Ejecutivos y Compañías, junto con Asegurados, Pólizas, Siniestros y Cobranza.</w:t>
      </w:r>
    </w:p>
    <w:p>
      <w:pPr>
        <w:spacing w:after="200" w:before="100"/>
        <w:ind w:left="360"/>
      </w:pPr>
      <w:r>
        <w:rPr>
          <w:b/>
          <w:bCs/>
          <w:i/>
          <w:iCs/>
        </w:rPr>
        <w:t xml:space="preserve">Nota: </w:t>
      </w:r>
      <w:r>
        <w:rPr>
          <w:i/>
          <w:iCs/>
        </w:rPr>
        <w:t xml:space="preserve">Las guías de usuario provistas no incluyen un documento operativo dedicado para estos tres módulos (a diferencia de Asegurados, Pólizas, Siniestros, Comisiones y Cobranza); esta sección refleja únicamente lo que consta sobre ellos en la documentación de roles, arquitectura y base de datos.</w:t>
      </w:r>
    </w:p>
    <w:p>
      <w:pPr>
        <w:pStyle w:val="Heading2"/>
        <w:spacing w:after="180" w:before="360"/>
      </w:pPr>
      <w:r>
        <w:t xml:space="preserve">2.7 Usuarios y Roles</w:t>
      </w:r>
    </w:p>
    <w:p>
      <w:pPr>
        <w:spacing w:after="160"/>
      </w:pPr>
      <w:r>
        <w:t xml:space="preserve">La gestión de usuarios está restringida al rol Administración. Un usuario es un registro en la tabla users con nombre, correo, contraseña (hasheada) y un rol (permisos). No existe ninguna cuenta MySQL asociada por usuario: todas las conexiones a la base de datos usan la misma credencial configurada por variables de entorno, sin importar quién esté logueado. El control de acceso es responsabilidad exclusiva de la aplicación, que compara session['permisos'] contra el rol requerido en cada ruta y plantilla.</w:t>
      </w:r>
    </w:p>
    <w:p>
      <w:pPr>
        <w:pStyle w:val="Heading3"/>
        <w:spacing w:after="140" w:before="280"/>
      </w:pPr>
      <w:r>
        <w:t xml:space="preserve">Roles disponibles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shd w:fill="1F3864" w:color="1F3864" w:val="solid"/>
            <w:tcMar>
              <w:top w:type="dxa" w:w="100"/>
              <w:left w:type="dxa" w:w="120"/>
              <w:bottom w:type="dxa" w:w="100"/>
              <w:right w:type="dxa" w:w="120"/>
            </w:tcMar>
            <w:vAlign w:val="center"/>
          </w:tcPr>
          <w:p>
            <w:r>
              <w:rPr>
                <w:b/>
                <w:bCs/>
                <w:color w:val="FFFFFF"/>
              </w:rPr>
              <w:t xml:space="preserve">Rol</w:t>
            </w:r>
          </w:p>
        </w:tc>
        <w:tc>
          <w:tcPr>
            <w:shd w:fill="1F3864" w:color="1F3864" w:val="solid"/>
            <w:tcMar>
              <w:top w:type="dxa" w:w="100"/>
              <w:left w:type="dxa" w:w="120"/>
              <w:bottom w:type="dxa" w:w="100"/>
              <w:right w:type="dxa" w:w="120"/>
            </w:tcMar>
            <w:vAlign w:val="center"/>
          </w:tcPr>
          <w:p>
            <w:r>
              <w:rPr>
                <w:b/>
                <w:bCs/>
                <w:color w:val="FFFFFF"/>
              </w:rPr>
              <w:t xml:space="preserve">Operaciones permitidas</w:t>
            </w:r>
          </w:p>
        </w:tc>
        <w:tc>
          <w:tcPr>
            <w:shd w:fill="1F3864" w:color="1F3864" w:val="solid"/>
            <w:tcMar>
              <w:top w:type="dxa" w:w="100"/>
              <w:left w:type="dxa" w:w="120"/>
              <w:bottom w:type="dxa" w:w="100"/>
              <w:right w:type="dxa" w:w="120"/>
            </w:tcMar>
            <w:vAlign w:val="center"/>
          </w:tcPr>
          <w:p>
            <w:r>
              <w:rPr>
                <w:b/>
                <w:bCs/>
                <w:color w:val="FFFFFF"/>
              </w:rPr>
              <w:t xml:space="preserve">Módulos disponibles</w:t>
            </w:r>
          </w:p>
        </w:tc>
      </w:tr>
      <w:tr>
        <w:tc>
          <w:tcPr>
            <w:tcMar>
              <w:top w:type="dxa" w:w="80"/>
              <w:left w:type="dxa" w:w="120"/>
              <w:bottom w:type="dxa" w:w="80"/>
              <w:right w:type="dxa" w:w="120"/>
            </w:tcMar>
            <w:vAlign w:val="center"/>
          </w:tcPr>
          <w:p>
            <w:r>
              <w:t xml:space="preserve">Administración</w:t>
            </w:r>
          </w:p>
        </w:tc>
        <w:tc>
          <w:tcPr>
            <w:tcMar>
              <w:top w:type="dxa" w:w="80"/>
              <w:left w:type="dxa" w:w="120"/>
              <w:bottom w:type="dxa" w:w="80"/>
              <w:right w:type="dxa" w:w="120"/>
            </w:tcMar>
            <w:vAlign w:val="center"/>
          </w:tcPr>
          <w:p>
            <w:r>
              <w:t xml:space="preserve">Crear, editar y eliminar en todos los módulos</w:t>
            </w:r>
          </w:p>
        </w:tc>
        <w:tc>
          <w:tcPr>
            <w:tcMar>
              <w:top w:type="dxa" w:w="80"/>
              <w:left w:type="dxa" w:w="120"/>
              <w:bottom w:type="dxa" w:w="80"/>
              <w:right w:type="dxa" w:w="120"/>
            </w:tcMar>
            <w:vAlign w:val="center"/>
          </w:tcPr>
          <w:p>
            <w:r>
              <w:t xml:space="preserve">Todos los módulos, incluyendo Usuarios, Comisiones y Reportes</w:t>
            </w:r>
          </w:p>
        </w:tc>
      </w:tr>
      <w:tr>
        <w:tc>
          <w:tcPr>
            <w:tcMar>
              <w:top w:type="dxa" w:w="80"/>
              <w:left w:type="dxa" w:w="120"/>
              <w:bottom w:type="dxa" w:w="80"/>
              <w:right w:type="dxa" w:w="120"/>
            </w:tcMar>
            <w:vAlign w:val="center"/>
          </w:tcPr>
          <w:p>
            <w:r>
              <w:t xml:space="preserve">Gerencia</w:t>
            </w:r>
          </w:p>
        </w:tc>
        <w:tc>
          <w:tcPr>
            <w:tcMar>
              <w:top w:type="dxa" w:w="80"/>
              <w:left w:type="dxa" w:w="120"/>
              <w:bottom w:type="dxa" w:w="80"/>
              <w:right w:type="dxa" w:w="120"/>
            </w:tcMar>
            <w:vAlign w:val="center"/>
          </w:tcPr>
          <w:p>
            <w:r>
              <w:t xml:space="preserve">Crear, editar y eliminar</w:t>
            </w:r>
          </w:p>
        </w:tc>
        <w:tc>
          <w:tcPr>
            <w:tcMar>
              <w:top w:type="dxa" w:w="80"/>
              <w:left w:type="dxa" w:w="120"/>
              <w:bottom w:type="dxa" w:w="80"/>
              <w:right w:type="dxa" w:w="120"/>
            </w:tcMar>
            <w:vAlign w:val="center"/>
          </w:tcPr>
          <w:p>
            <w:r>
              <w:t xml:space="preserve">Todos excepto gestión de Usuarios. Acceso completo a Comisiones y Reportes.</w:t>
            </w:r>
          </w:p>
        </w:tc>
      </w:tr>
      <w:tr>
        <w:tc>
          <w:tcPr>
            <w:tcMar>
              <w:top w:type="dxa" w:w="80"/>
              <w:left w:type="dxa" w:w="120"/>
              <w:bottom w:type="dxa" w:w="80"/>
              <w:right w:type="dxa" w:w="120"/>
            </w:tcMar>
            <w:vAlign w:val="center"/>
          </w:tcPr>
          <w:p>
            <w:r>
              <w:t xml:space="preserve">Operaciones</w:t>
            </w:r>
          </w:p>
        </w:tc>
        <w:tc>
          <w:tcPr>
            <w:tcMar>
              <w:top w:type="dxa" w:w="80"/>
              <w:left w:type="dxa" w:w="120"/>
              <w:bottom w:type="dxa" w:w="80"/>
              <w:right w:type="dxa" w:w="120"/>
            </w:tcMar>
            <w:vAlign w:val="center"/>
          </w:tcPr>
          <w:p>
            <w:r>
              <w:t xml:space="preserve">Crear, editar y eliminar</w:t>
            </w:r>
          </w:p>
        </w:tc>
        <w:tc>
          <w:tcPr>
            <w:tcMar>
              <w:top w:type="dxa" w:w="80"/>
              <w:left w:type="dxa" w:w="120"/>
              <w:bottom w:type="dxa" w:w="80"/>
              <w:right w:type="dxa" w:w="120"/>
            </w:tcMar>
            <w:vAlign w:val="center"/>
          </w:tcPr>
          <w:p>
            <w:r>
              <w:t xml:space="preserve">Asegurados, Pólizas, Siniestros, Cobranza, Ejecutivos, Compañías. Sin acceso a Comisiones ni Usuarios.</w:t>
            </w:r>
          </w:p>
        </w:tc>
      </w:tr>
      <w:tr>
        <w:tc>
          <w:tcPr>
            <w:tcMar>
              <w:top w:type="dxa" w:w="80"/>
              <w:left w:type="dxa" w:w="120"/>
              <w:bottom w:type="dxa" w:w="80"/>
              <w:right w:type="dxa" w:w="120"/>
            </w:tcMar>
            <w:vAlign w:val="center"/>
          </w:tcPr>
          <w:p>
            <w:r>
              <w:t xml:space="preserve">Ventas</w:t>
            </w:r>
          </w:p>
        </w:tc>
        <w:tc>
          <w:tcPr>
            <w:tcMar>
              <w:top w:type="dxa" w:w="80"/>
              <w:left w:type="dxa" w:w="120"/>
              <w:bottom w:type="dxa" w:w="80"/>
              <w:right w:type="dxa" w:w="120"/>
            </w:tcMar>
            <w:vAlign w:val="center"/>
          </w:tcPr>
          <w:p>
            <w:r>
              <w:t xml:space="preserve">Solo consulta</w:t>
            </w:r>
          </w:p>
        </w:tc>
        <w:tc>
          <w:tcPr>
            <w:tcMar>
              <w:top w:type="dxa" w:w="80"/>
              <w:left w:type="dxa" w:w="120"/>
              <w:bottom w:type="dxa" w:w="80"/>
              <w:right w:type="dxa" w:w="120"/>
            </w:tcMar>
            <w:vAlign w:val="center"/>
          </w:tcPr>
          <w:p>
            <w:r>
              <w:t xml:space="preserve">Todos los módulos de consulta. No puede crear ni modificar ningún registro.</w:t>
            </w:r>
          </w:p>
        </w:tc>
      </w:tr>
    </w:tbl>
    <w:p>
      <w:pPr>
        <w:spacing w:after="200" w:before="100"/>
        <w:ind w:left="360"/>
      </w:pPr>
      <w:r>
        <w:rPr>
          <w:b/>
          <w:bCs/>
          <w:i/>
          <w:iCs/>
        </w:rPr>
        <w:t xml:space="preserve">Nota: </w:t>
      </w:r>
      <w:r>
        <w:rPr>
          <w:i/>
          <w:iCs/>
        </w:rPr>
        <w:t xml:space="preserve">El rol dev existe para uso interno del equipo de desarrollo y tiene los mismos permisos que Administración.</w:t>
      </w:r>
    </w:p>
    <w:p>
      <w:pPr>
        <w:pStyle w:val="ListParagraph"/>
        <w:numPr>
          <w:ilvl w:val="0"/>
          <w:numId w:val="1"/>
        </w:numPr>
        <w:spacing w:after="80"/>
      </w:pPr>
      <w:r>
        <w:t xml:space="preserve">Alta de usuario: nombre y apellido, correo electrónico (nombre de usuario para login, único), contraseña inicial y rol (Administración, Gerencia, Operaciones o Ventas). La contraseña se guarda con hash scrypt (werkzeug); no se crea ni modifica ninguna cuenta de base de datos.</w:t>
      </w:r>
    </w:p>
    <w:p>
      <w:pPr>
        <w:pStyle w:val="ListParagraph"/>
        <w:numPr>
          <w:ilvl w:val="0"/>
          <w:numId w:val="1"/>
        </w:numPr>
        <w:spacing w:after="80"/>
      </w:pPr>
      <w:r>
        <w:t xml:space="preserve">Cambio de contraseña: un administrador puede cambiar la de otro usuario desde el listado; cada usuario puede cambiar la propia desde el menú de su perfil, ingresando la contraseña actual y la nueva dos veces.</w:t>
      </w:r>
    </w:p>
    <w:p>
      <w:pPr>
        <w:pStyle w:val="ListParagraph"/>
        <w:numPr>
          <w:ilvl w:val="0"/>
          <w:numId w:val="1"/>
        </w:numPr>
        <w:spacing w:after="80"/>
      </w:pPr>
      <w:r>
        <w:t xml:space="preserve">Eliminación de usuario: baja definitiva del registro en la tabla users (no es un campo de estado/inactivo); es irreversible desde la interfaz. Los registros asociados al usuario (pólizas como ejecutivo responsable, comisiones, etc.) se conservan, pero el usuario ya no podrá iniciar sesión.</w:t>
      </w:r>
    </w:p>
    <w:p>
      <w:pPr>
        <w:pStyle w:val="ListParagraph"/>
        <w:numPr>
          <w:ilvl w:val="0"/>
          <w:numId w:val="1"/>
        </w:numPr>
        <w:spacing w:after="80"/>
      </w:pPr>
      <w:r>
        <w:t xml:space="preserve">Perfil de usuario: cada usuario puede ver su información actual (nombre, correo, rol) y cambiar su contraseña; no puede cambiar su propio rol ni el de otros usuarios.</w:t>
      </w:r>
    </w:p>
    <w:p>
      <w:pPr>
        <w:pStyle w:val="ListParagraph"/>
        <w:numPr>
          <w:ilvl w:val="0"/>
          <w:numId w:val="1"/>
        </w:numPr>
        <w:spacing w:after="80"/>
      </w:pPr>
      <w:r>
        <w:t xml:space="preserve">Recuperación de contraseña: solicitud por correo desde la pantalla de login (requiere configuración SMTP en .env); el enlace de recuperación expira a las 24 horas.</w:t>
      </w:r>
    </w:p>
    <w:p>
      <w:pPr>
        <w:pStyle w:val="ListParagraph"/>
        <w:numPr>
          <w:ilvl w:val="0"/>
          <w:numId w:val="1"/>
        </w:numPr>
        <w:spacing w:after="80"/>
      </w:pPr>
      <w:r>
        <w:t xml:space="preserve">Bitácora de actividad: todas las operaciones (INSERT, UPDATE, DELETE) sobre las tablas principales quedan registradas en la tabla bitacora mediante triggers de MySQL, incluyendo datos anteriores y posteriores y el usuario de sesión que realizó la operación. No tiene interfaz visual en la versión actual; se consulta directamente en la base de datos.</w:t>
      </w:r>
    </w:p>
    <w:p>
      <w:pPr>
        <w:pStyle w:val="Heading2"/>
        <w:spacing w:after="180" w:before="360"/>
      </w:pPr>
      <w:r>
        <w:t xml:space="preserve">2.8 Reportes (Dashboard y Sudaseg)</w:t>
      </w:r>
    </w:p>
    <w:p>
      <w:pPr>
        <w:spacing w:after="160"/>
      </w:pPr>
      <w:r>
        <w:t xml:space="preserve">BrokerCore incluye un módulo de Reportes compuesto por un dashboard de negocio (con gráficos ApexCharts, según arquitectura.md) y un reporte regulatorio Sudaseg, mencionados como módulos principales en el resumen ejecutivo del sistema.</w:t>
      </w:r>
    </w:p>
    <w:p>
      <w:pPr>
        <w:spacing w:after="200" w:before="100"/>
        <w:ind w:left="360"/>
      </w:pPr>
      <w:r>
        <w:rPr>
          <w:b/>
          <w:bCs/>
          <w:i/>
          <w:iCs/>
        </w:rPr>
        <w:t xml:space="preserve">Nota: </w:t>
      </w:r>
      <w:r>
        <w:rPr>
          <w:i/>
          <w:iCs/>
        </w:rPr>
        <w:t xml:space="preserve">Las guías de usuario provistas no incluyen un documento operativo dedicado para el módulo de Reportes (Dashboard/Sudaseg); esta sección se mantiene deliberadamente breve para no inventar funcionalidades o campos no documentados.</w:t>
      </w:r>
    </w:p>
    <w:p>
      <w:pPr>
        <w:pStyle w:val="Heading1"/>
        <w:pageBreakBefore/>
        <w:spacing w:after="240" w:before="480"/>
      </w:pPr>
      <w:r>
        <w:t xml:space="preserve">3. Requerimientos técnicos / no funcionales</w:t>
      </w:r>
    </w:p>
    <w:p>
      <w:pPr>
        <w:pStyle w:val="Heading2"/>
        <w:spacing w:after="180" w:before="360"/>
      </w:pPr>
      <w:r>
        <w:t xml:space="preserve">3.1 Stack tecnológico</w:t>
      </w:r>
    </w:p>
    <w:p>
      <w:pPr>
        <w:pStyle w:val="ListParagraph"/>
        <w:numPr>
          <w:ilvl w:val="0"/>
          <w:numId w:val="1"/>
        </w:numPr>
        <w:spacing w:after="80"/>
      </w:pPr>
      <w:r>
        <w:t xml:space="preserve">Backend: Flask (Python), sin uso de Blueprints — toda la aplicación se define en un único conjunto de archivos de rutas y funciones.</w:t>
      </w:r>
    </w:p>
    <w:p>
      <w:pPr>
        <w:pStyle w:val="ListParagraph"/>
        <w:numPr>
          <w:ilvl w:val="0"/>
          <w:numId w:val="1"/>
        </w:numPr>
        <w:spacing w:after="80"/>
      </w:pPr>
      <w:r>
        <w:t xml:space="preserve">Acceso a datos: PyMySQL, sin ORM. SQL directo escrito a mano en cada función de controlador.</w:t>
      </w:r>
    </w:p>
    <w:p>
      <w:pPr>
        <w:pStyle w:val="ListParagraph"/>
        <w:numPr>
          <w:ilvl w:val="0"/>
          <w:numId w:val="1"/>
        </w:numPr>
        <w:spacing w:after="80"/>
      </w:pPr>
      <w:r>
        <w:t xml:space="preserve">Base de datos: MySQL / TiDB Cloud.</w:t>
      </w:r>
    </w:p>
    <w:p>
      <w:pPr>
        <w:pStyle w:val="ListParagraph"/>
        <w:numPr>
          <w:ilvl w:val="0"/>
          <w:numId w:val="1"/>
        </w:numPr>
        <w:spacing w:after="80"/>
      </w:pPr>
      <w:r>
        <w:t xml:space="preserve">Presentación: plantillas Jinja2 con herencia sobre base_cpanel.html, interfaz Sneat Bootstrap 5 (navbar y sidebar responsivo), gráficos con ApexCharts.</w:t>
      </w:r>
    </w:p>
    <w:p>
      <w:pPr>
        <w:pStyle w:val="ListParagraph"/>
        <w:numPr>
          <w:ilvl w:val="0"/>
          <w:numId w:val="1"/>
        </w:numPr>
        <w:spacing w:after="80"/>
      </w:pPr>
      <w:r>
        <w:t xml:space="preserve">Servidor de producción: waitress (WSGI), invocado vía wsgi.py.</w:t>
      </w:r>
    </w:p>
    <w:p>
      <w:pPr>
        <w:pStyle w:val="ListParagraph"/>
        <w:numPr>
          <w:ilvl w:val="0"/>
          <w:numId w:val="1"/>
        </w:numPr>
        <w:spacing w:after="80"/>
      </w:pPr>
      <w:r>
        <w:t xml:space="preserve">Servidor de desarrollo: servidor integrado de Flask vía run.py, puerto 5600, con debug=True (no debe usarse en producción).</w:t>
      </w:r>
    </w:p>
    <w:p>
      <w:pPr>
        <w:pStyle w:val="Heading2"/>
        <w:spacing w:after="180" w:before="360"/>
      </w:pPr>
      <w:r>
        <w:t xml:space="preserve">3.2 Arquitectura</w:t>
      </w:r>
    </w:p>
    <w:p>
      <w:pPr>
        <w:spacing w:after="160"/>
      </w:pPr>
      <w:r>
        <w:t xml:space="preserve">BrokerCore es un monolito Flask estructurado en un patrón MVC loosely-coupled: las rutas actúan como controladores delgados, toda la lógica de negocio vive en funciones de controlador centralizadas, y las vistas son plantillas Jinja2. El flujo de una request típica es el siguiente:</w:t>
      </w:r>
    </w:p>
    <w:p>
      <w:pPr>
        <w:spacing w:after="240" w:before="120"/>
        <w:jc w:val="center"/>
      </w:pPr>
      <w:r>
        <w:rPr>
          <w:b/>
          <w:bCs/>
        </w:rPr>
        <w:t xml:space="preserve">Navegador → Router Flask → Controlador → PyMySQL → MySQL / TiDB Cloud → plantilla Jinja2 → Navegador</w:t>
      </w:r>
    </w:p>
    <w:p>
      <w:pPr>
        <w:pStyle w:val="ListParagraph"/>
        <w:numPr>
          <w:ilvl w:val="0"/>
          <w:numId w:val="1"/>
        </w:numPr>
        <w:spacing w:after="80"/>
      </w:pPr>
      <w:r>
        <w:t xml:space="preserve">router_home.py concentra aproximadamente 173 rutas, todas registradas directamente sobre el objeto app (sin Blueprints); cada ruta llama a una función de controller.</w:t>
      </w:r>
    </w:p>
    <w:p>
      <w:pPr>
        <w:pStyle w:val="ListParagraph"/>
        <w:numPr>
          <w:ilvl w:val="0"/>
          <w:numId w:val="1"/>
        </w:numPr>
        <w:spacing w:after="80"/>
      </w:pPr>
      <w:r>
        <w:t xml:space="preserve">funciones_home.py contiene toda la lógica de negocio (~8900 líneas), sin separación por módulo; las funciones ejecutan SQL directo y usan PyMySQL DictCursor (cada fila es un diccionario).</w:t>
      </w:r>
    </w:p>
    <w:p>
      <w:pPr>
        <w:pStyle w:val="ListParagraph"/>
        <w:numPr>
          <w:ilvl w:val="0"/>
          <w:numId w:val="1"/>
        </w:numPr>
        <w:spacing w:after="80"/>
      </w:pPr>
      <w:r>
        <w:t xml:space="preserve">funciones_login.py concentra la lógica de autenticación y el CRUD de usuarios de la aplicación (tabla users, sin cuentas MySQL asociadas).</w:t>
      </w:r>
    </w:p>
    <w:p>
      <w:pPr>
        <w:pStyle w:val="ListParagraph"/>
        <w:numPr>
          <w:ilvl w:val="0"/>
          <w:numId w:val="1"/>
        </w:numPr>
        <w:spacing w:after="80"/>
      </w:pPr>
      <w:r>
        <w:t xml:space="preserve">Caso especial: los códigos de póliza (cod_poliza) pueden contener barras (/), lo que genera conflictos en URLs de Flask; la solución adoptada es sustituir / por - al construir las URLs y revertir la sustitución en el controller antes de consultar la base de datos.</w:t>
      </w:r>
    </w:p>
    <w:p>
      <w:pPr>
        <w:pStyle w:val="ListParagraph"/>
        <w:numPr>
          <w:ilvl w:val="0"/>
          <w:numId w:val="1"/>
        </w:numPr>
        <w:spacing w:after="80"/>
      </w:pPr>
      <w:r>
        <w:t xml:space="preserve">No existe connection pooling: cada llamada abre y cierra una conexión PyMySQL nueva.</w:t>
      </w:r>
    </w:p>
    <w:p>
      <w:pPr>
        <w:pStyle w:val="ListParagraph"/>
        <w:numPr>
          <w:ilvl w:val="0"/>
          <w:numId w:val="1"/>
        </w:numPr>
        <w:spacing w:after="80"/>
      </w:pPr>
      <w:r>
        <w:t xml:space="preserve">El context processor que inyecta el conteo de pólizas pendientes está definido en run.py y solo se registra cuando la aplicación arranca por esa vía (desarrollo); wsgi.py (producción, usado por Render y por el Dockerfile) no lo registra. Además, la variable conteo_pendientes no está referenciada en ninguna plantilla actualmente — es código sin consumidor tras cambios recientes al sidebar de Comisiones; no representa un problema funcional hoy, pero es una inconsistencia pendiente de limpiar.</w:t>
      </w:r>
    </w:p>
    <w:p>
      <w:pPr>
        <w:pStyle w:val="Heading2"/>
        <w:spacing w:after="180" w:before="360"/>
      </w:pPr>
      <w:r>
        <w:t xml:space="preserve">3.3 Modelo de conexión a base de datos</w:t>
      </w:r>
    </w:p>
    <w:p>
      <w:pPr>
        <w:spacing w:after="160"/>
      </w:pPr>
      <w:r>
        <w:t xml:space="preserve">BrokerCore usa una sola conexión de base de datos compartida por toda la aplicación, configurada por variables de entorno y abierta con PyMySQL (conexion/conexionBD.py, función connectionBD()).</w:t>
      </w:r>
    </w:p>
    <w:p>
      <w:pPr>
        <w:pStyle w:val="ListParagraph"/>
        <w:numPr>
          <w:ilvl w:val="0"/>
          <w:numId w:val="1"/>
        </w:numPr>
        <w:spacing w:after="80"/>
      </w:pPr>
      <w:r>
        <w:t xml:space="preserve">Si existe DATABASE_URL o MYSQL_URL, se parsean con urlparse para obtener host, usuario, contraseña, base de datos y puerto. Es la variable que usa el despliegue en Render y el docker-compose.yml local.</w:t>
      </w:r>
    </w:p>
    <w:p>
      <w:pPr>
        <w:pStyle w:val="ListParagraph"/>
        <w:numPr>
          <w:ilvl w:val="0"/>
          <w:numId w:val="1"/>
        </w:numPr>
        <w:spacing w:after="80"/>
      </w:pPr>
      <w:r>
        <w:t xml:space="preserve">Si no existe ninguna de las dos, se usan las variables discretas DB_HOST, DB_USER, DB_PASSWORD, DB_NAME, DB_PORT (pensadas para desarrollo local; DB_PORT por defecto 3306, DB_USER por defecto root).</w:t>
      </w:r>
    </w:p>
    <w:p>
      <w:pPr>
        <w:pStyle w:val="ListParagraph"/>
        <w:numPr>
          <w:ilvl w:val="0"/>
          <w:numId w:val="1"/>
        </w:numPr>
        <w:spacing w:after="80"/>
      </w:pPr>
      <w:r>
        <w:t xml:space="preserve">SSL se activa automáticamente si MYSQL_SSL=true, o si el host contiene tidb, tidbcloud, planetscale o aiven (caso típico de TiDB Cloud en producción).</w:t>
      </w:r>
    </w:p>
    <w:p>
      <w:pPr>
        <w:pStyle w:val="ListParagraph"/>
        <w:numPr>
          <w:ilvl w:val="0"/>
          <w:numId w:val="1"/>
        </w:numPr>
        <w:spacing w:after="80"/>
      </w:pPr>
      <w:r>
        <w:rPr>
          <w:b/>
          <w:bCs/>
        </w:rPr>
        <w:t xml:space="preserve">No existen usuarios MySQL individuales por usuario de la aplicación. </w:t>
      </w:r>
      <w:r>
        <w:t xml:space="preserve">No hay CREATE USER, GRANT, DROP USER ni ALTER USER en ningún punto del código. Los roles (dev, Administracion, Gerencia, Operaciones, Ventas) son un campo (permisos) en la tabla users de la propia aplicación, y el control de acceso se resuelve enteramente en la capa de aplicación comparando session['permisos'] contra el rol requerido en cada ruta/plantilla. Todas las queries, sin importar el rol del usuario logueado, se ejecutan con la misma credencial de base de datos.</w:t>
      </w:r>
    </w:p>
    <w:p>
      <w:pPr>
        <w:pStyle w:val="ListParagraph"/>
        <w:numPr>
          <w:ilvl w:val="0"/>
          <w:numId w:val="1"/>
        </w:numPr>
        <w:spacing w:after="80"/>
      </w:pPr>
      <w:r>
        <w:t xml:space="preserve">Sistema de auditoría: triggers de MySQL activos en las tablas principales (asegurado, poliza, pago, renovacion, entre otras) capturan automáticamente cada INSERT, UPDATE y DELETE y escriben un registro en la tabla bitacora, incluyendo tabla afectada, tipo de operación, datos anteriores/posteriores, timestamp y usuario de aplicación asociado.</w:t>
      </w:r>
    </w:p>
    <w:p>
      <w:pPr>
        <w:pStyle w:val="Heading2"/>
        <w:spacing w:after="180" w:before="360"/>
      </w:pPr>
      <w:r>
        <w:t xml:space="preserve">3.4 Despliegue</w:t>
      </w:r>
    </w:p>
    <w:p>
      <w:pPr>
        <w:spacing w:after="160"/>
      </w:pPr>
      <w:r>
        <w:t xml:space="preserve">BrokerCore soporta dos rutas de despliegue en paralelo, más una alternativa bare-metal:</w:t>
      </w:r>
    </w:p>
    <w:p>
      <w:pPr>
        <w:pStyle w:val="ListParagraph"/>
        <w:numPr>
          <w:ilvl w:val="0"/>
          <w:numId w:val="1"/>
        </w:numPr>
        <w:spacing w:after="80"/>
      </w:pPr>
      <w:r>
        <w:t xml:space="preserve">Render.com (producción actual) — configurado por render.yaml: buildCommand "pip install --no-cache-dir -r requirements.txt", startCommand "python wsgi.py", variables SECRET_KEY (generada automáticamente por Render), DATABASE_URL (secret manual configurado en el dashboard, apunta típicamente a TiDB Cloud) y MYSQL_SSL=true. Render maneja HTTPS y el proceso del servidor (reinicios, logs) automáticamente.</w:t>
      </w:r>
    </w:p>
    <w:p>
      <w:pPr>
        <w:pStyle w:val="ListParagraph"/>
        <w:numPr>
          <w:ilvl w:val="0"/>
          <w:numId w:val="1"/>
        </w:numPr>
        <w:spacing w:after="80"/>
      </w:pPr>
      <w:r>
        <w:t xml:space="preserve">Docker (alternativa portable) — Dockerfile basado en python:3.11-slim, con ca-certificates instalado (necesario para que PyMySQL valide TLS contra TiDB Cloud); docker-compose.yml define un único servicio app que lee variables desde un .env local (gitignored) y expone el puerto $PORT (por defecto 8000). No requiere entorno virtual de Python ni instalar dependencias en el host.</w:t>
      </w:r>
    </w:p>
    <w:p>
      <w:pPr>
        <w:pStyle w:val="ListParagraph"/>
        <w:numPr>
          <w:ilvl w:val="0"/>
          <w:numId w:val="1"/>
        </w:numPr>
        <w:spacing w:after="80"/>
      </w:pPr>
      <w:r>
        <w:t xml:space="preserve">Manual (Nginx + systemd, bare-metal) — alternativa para quien administra el servidor directamente: waitress vía wsgi.py como servidor WSGI, Nginx opcional como proxy inverso para terminar SSL y servir static/ directamente, y un servicio systemd para arranque automático y reinicio ante fallos. En Windows, waitress funciona nativamente y puede envolverse como servicio con NSSM.</w:t>
      </w:r>
    </w:p>
    <w:p>
      <w:pPr>
        <w:pStyle w:val="ListParagraph"/>
        <w:numPr>
          <w:ilvl w:val="0"/>
          <w:numId w:val="1"/>
        </w:numPr>
        <w:spacing w:after="80"/>
      </w:pPr>
      <w:r>
        <w:t xml:space="preserve">BrokerCore escribe archivos en static/fotos_empleados/ (fotos de empleados) y static/downloads-excel/ (archivos Excel generados temporalmente); el usuario del sistema operativo que ejecuta la aplicación necesita permisos de escritura en ambas rutas.</w:t>
      </w:r>
    </w:p>
    <w:p>
      <w:pPr>
        <w:pStyle w:val="Heading2"/>
        <w:spacing w:after="180" w:before="360"/>
      </w:pPr>
      <w:r>
        <w:t xml:space="preserve">3.5 Postura de seguridad</w:t>
      </w:r>
    </w:p>
    <w:p>
      <w:pPr>
        <w:pStyle w:val="Heading3"/>
        <w:spacing w:after="140" w:before="280"/>
      </w:pPr>
      <w:r>
        <w:t xml:space="preserve">Implementado</w:t>
      </w:r>
    </w:p>
    <w:p>
      <w:pPr>
        <w:pStyle w:val="ListParagraph"/>
        <w:numPr>
          <w:ilvl w:val="0"/>
          <w:numId w:val="1"/>
        </w:numPr>
        <w:spacing w:after="80"/>
      </w:pPr>
      <w:r>
        <w:t xml:space="preserve">Hashing de contraseñas con scrypt vía werkzeug.security (no bcrypt), con salt automático y resistencia a fuerza bruta por diseño.</w:t>
      </w:r>
    </w:p>
    <w:p>
      <w:pPr>
        <w:pStyle w:val="ListParagraph"/>
        <w:numPr>
          <w:ilvl w:val="0"/>
          <w:numId w:val="1"/>
        </w:numPr>
        <w:spacing w:after="80"/>
      </w:pPr>
      <w:r>
        <w:t xml:space="preserve">Autenticación basada en sesión de Flask, firmada criptográficamente con SECRET_KEY; un atacante no puede falsificar una cookie de sesión sin conocer esta clave.</w:t>
      </w:r>
    </w:p>
    <w:p>
      <w:pPr>
        <w:pStyle w:val="ListParagraph"/>
        <w:numPr>
          <w:ilvl w:val="0"/>
          <w:numId w:val="1"/>
        </w:numPr>
        <w:spacing w:after="80"/>
      </w:pPr>
      <w:r>
        <w:t xml:space="preserve">Recuperación de contraseña con tokens temporales de un solo uso (tabla password_resets) con fecha de expiración.</w:t>
      </w:r>
    </w:p>
    <w:p>
      <w:pPr>
        <w:pStyle w:val="Heading3"/>
        <w:spacing w:after="140" w:before="280"/>
      </w:pPr>
      <w:r>
        <w:t xml:space="preserve">No implementado — riesgos actuales</w:t>
      </w:r>
    </w:p>
    <w:p>
      <w:pPr>
        <w:pStyle w:val="ListParagraph"/>
        <w:numPr>
          <w:ilvl w:val="0"/>
          <w:numId w:val="1"/>
        </w:numPr>
        <w:spacing w:after="80"/>
      </w:pPr>
      <w:r>
        <w:t xml:space="preserve">Todas las queries corren con una única credencial de base de datos: el control de acceso por rol se resuelve solo en la capa de aplicación; si una ruta olvida verificar el rol, no hay una segunda barrera a nivel de base de datos. La sesión de Flask solo guarda identidad y rol, no credenciales de base de datos, por lo que una fuga de sesión no expone contraseñas de base de datos.</w:t>
      </w:r>
    </w:p>
    <w:p>
      <w:pPr>
        <w:pStyle w:val="ListParagraph"/>
        <w:numPr>
          <w:ilvl w:val="0"/>
          <w:numId w:val="1"/>
        </w:numPr>
        <w:spacing w:after="80"/>
      </w:pPr>
      <w:r>
        <w:t xml:space="preserve">Sin protección CSRF en los formularios POST.</w:t>
      </w:r>
    </w:p>
    <w:p>
      <w:pPr>
        <w:pStyle w:val="ListParagraph"/>
        <w:numPr>
          <w:ilvl w:val="0"/>
          <w:numId w:val="1"/>
        </w:numPr>
        <w:spacing w:after="80"/>
      </w:pPr>
      <w:r>
        <w:t xml:space="preserve">Sin rate limiting en el endpoint de login.</w:t>
      </w:r>
    </w:p>
    <w:p>
      <w:pPr>
        <w:pStyle w:val="ListParagraph"/>
        <w:numPr>
          <w:ilvl w:val="0"/>
          <w:numId w:val="1"/>
        </w:numPr>
        <w:spacing w:after="80"/>
      </w:pPr>
      <w:r>
        <w:t xml:space="preserve">Sin validación/sanitización de entradas estandarizada en el servidor (aunque PyMySQL usa parámetros preparados, lo que previene SQL injection en las queries).</w:t>
      </w:r>
    </w:p>
    <w:p>
      <w:pPr>
        <w:pStyle w:val="ListParagraph"/>
        <w:numPr>
          <w:ilvl w:val="0"/>
          <w:numId w:val="1"/>
        </w:numPr>
        <w:spacing w:after="80"/>
      </w:pPr>
      <w:r>
        <w:t xml:space="preserve">Sin connection pooling (vector de disponibilidad, no de confidencialidad).</w:t>
      </w:r>
    </w:p>
    <w:p>
      <w:pPr>
        <w:pStyle w:val="ListParagraph"/>
        <w:numPr>
          <w:ilvl w:val="0"/>
          <w:numId w:val="1"/>
        </w:numPr>
        <w:spacing w:after="80"/>
      </w:pPr>
      <w:r>
        <w:t xml:space="preserve">Credenciales Gmail reales en .env para el envío de correo (SMTP_EMAIL, SMTP_PASSWORD).</w:t>
      </w:r>
    </w:p>
    <w:p>
      <w:pPr>
        <w:pStyle w:val="ListParagraph"/>
        <w:numPr>
          <w:ilvl w:val="0"/>
          <w:numId w:val="1"/>
        </w:numPr>
        <w:spacing w:after="80"/>
      </w:pPr>
      <w:r>
        <w:t xml:space="preserve">Una única credencial de base de datos con acceso total configurada en .env/secret de despliegue; si se filtra, el atacante obtiene el mismo nivel de acceso que la aplicación completa.</w:t>
      </w:r>
    </w:p>
    <w:p>
      <w:pPr>
        <w:pStyle w:val="Heading3"/>
        <w:spacing w:after="140" w:before="280"/>
      </w:pPr>
      <w:r>
        <w:t xml:space="preserve">Resumen de riesgos y mitigaciones recomendadas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200"/>
        <w:gridCol w:w="1600"/>
      </w:tblGrid>
      <w:tr>
        <w:trPr>
          <w:tblHeader/>
        </w:trPr>
        <w:tc>
          <w:tcPr>
            <w:shd w:fill="1F3864" w:color="1F3864" w:val="solid"/>
            <w:tcMar>
              <w:top w:type="dxa" w:w="100"/>
              <w:left w:type="dxa" w:w="120"/>
              <w:bottom w:type="dxa" w:w="100"/>
              <w:right w:type="dxa" w:w="120"/>
            </w:tcMar>
            <w:vAlign w:val="center"/>
          </w:tcPr>
          <w:p>
            <w:r>
              <w:rPr>
                <w:b/>
                <w:bCs/>
                <w:color w:val="FFFFFF"/>
              </w:rPr>
              <w:t xml:space="preserve">Riesgo</w:t>
            </w:r>
          </w:p>
        </w:tc>
        <w:tc>
          <w:tcPr>
            <w:shd w:fill="1F3864" w:color="1F3864" w:val="solid"/>
            <w:tcMar>
              <w:top w:type="dxa" w:w="100"/>
              <w:left w:type="dxa" w:w="120"/>
              <w:bottom w:type="dxa" w:w="100"/>
              <w:right w:type="dxa" w:w="120"/>
            </w:tcMar>
            <w:vAlign w:val="center"/>
          </w:tcPr>
          <w:p>
            <w:r>
              <w:rPr>
                <w:b/>
                <w:bCs/>
                <w:color w:val="FFFFFF"/>
              </w:rPr>
              <w:t xml:space="preserve">Severidad</w:t>
            </w:r>
          </w:p>
        </w:tc>
        <w:tc>
          <w:tcPr>
            <w:shd w:fill="1F3864" w:color="1F3864" w:val="solid"/>
            <w:tcMar>
              <w:top w:type="dxa" w:w="100"/>
              <w:left w:type="dxa" w:w="120"/>
              <w:bottom w:type="dxa" w:w="100"/>
              <w:right w:type="dxa" w:w="120"/>
            </w:tcMar>
            <w:vAlign w:val="center"/>
          </w:tcPr>
          <w:p>
            <w:r>
              <w:rPr>
                <w:b/>
                <w:bCs/>
                <w:color w:val="FFFFFF"/>
              </w:rPr>
              <w:t xml:space="preserve">Mitigación disponible</w:t>
            </w:r>
          </w:p>
        </w:tc>
        <w:tc>
          <w:tcPr>
            <w:shd w:fill="1F3864" w:color="1F3864" w:val="solid"/>
            <w:tcMar>
              <w:top w:type="dxa" w:w="100"/>
              <w:left w:type="dxa" w:w="120"/>
              <w:bottom w:type="dxa" w:w="100"/>
              <w:right w:type="dxa" w:w="120"/>
            </w:tcMar>
            <w:vAlign w:val="center"/>
          </w:tcPr>
          <w:p>
            <w:r>
              <w:rPr>
                <w:b/>
                <w:bCs/>
                <w:color w:val="FFFFFF"/>
              </w:rPr>
              <w:t xml:space="preserve">Esfuerzo</w:t>
            </w:r>
          </w:p>
        </w:tc>
      </w:tr>
      <w:tr>
        <w:tc>
          <w:tcPr>
            <w:tcMar>
              <w:top w:type="dxa" w:w="80"/>
              <w:left w:type="dxa" w:w="120"/>
              <w:bottom w:type="dxa" w:w="80"/>
              <w:right w:type="dxa" w:w="120"/>
            </w:tcMar>
            <w:vAlign w:val="center"/>
          </w:tcPr>
          <w:p>
            <w:r>
              <w:t xml:space="preserve">Credencial única de BD sin defensa en profundidad a nivel de datos</w:t>
            </w:r>
          </w:p>
        </w:tc>
        <w:tc>
          <w:tcPr>
            <w:tcMar>
              <w:top w:type="dxa" w:w="80"/>
              <w:left w:type="dxa" w:w="120"/>
              <w:bottom w:type="dxa" w:w="80"/>
              <w:right w:type="dxa" w:w="120"/>
            </w:tcMar>
            <w:vAlign w:val="center"/>
          </w:tcPr>
          <w:p>
            <w:r>
              <w:t xml:space="preserve">Media</w:t>
            </w:r>
          </w:p>
        </w:tc>
        <w:tc>
          <w:tcPr>
            <w:tcMar>
              <w:top w:type="dxa" w:w="80"/>
              <w:left w:type="dxa" w:w="120"/>
              <w:bottom w:type="dxa" w:w="80"/>
              <w:right w:type="dxa" w:w="120"/>
            </w:tcMar>
            <w:vAlign w:val="center"/>
          </w:tcPr>
          <w:p>
            <w:r>
              <w:t xml:space="preserve">Centralizar verificación de rol en la app (decorador/middleware)</w:t>
            </w:r>
          </w:p>
        </w:tc>
        <w:tc>
          <w:tcPr>
            <w:tcMar>
              <w:top w:type="dxa" w:w="80"/>
              <w:left w:type="dxa" w:w="120"/>
              <w:bottom w:type="dxa" w:w="80"/>
              <w:right w:type="dxa" w:w="120"/>
            </w:tcMar>
            <w:vAlign w:val="center"/>
          </w:tcPr>
          <w:p>
            <w:r>
              <w:t xml:space="preserve">Medio</w:t>
            </w:r>
          </w:p>
        </w:tc>
      </w:tr>
      <w:tr>
        <w:tc>
          <w:tcPr>
            <w:tcMar>
              <w:top w:type="dxa" w:w="80"/>
              <w:left w:type="dxa" w:w="120"/>
              <w:bottom w:type="dxa" w:w="80"/>
              <w:right w:type="dxa" w:w="120"/>
            </w:tcMar>
            <w:vAlign w:val="center"/>
          </w:tcPr>
          <w:p>
            <w:r>
              <w:t xml:space="preserve">Sin CSRF</w:t>
            </w:r>
          </w:p>
        </w:tc>
        <w:tc>
          <w:tcPr>
            <w:tcMar>
              <w:top w:type="dxa" w:w="80"/>
              <w:left w:type="dxa" w:w="120"/>
              <w:bottom w:type="dxa" w:w="80"/>
              <w:right w:type="dxa" w:w="120"/>
            </w:tcMar>
            <w:vAlign w:val="center"/>
          </w:tcPr>
          <w:p>
            <w:r>
              <w:t xml:space="preserve">Alta</w:t>
            </w:r>
          </w:p>
        </w:tc>
        <w:tc>
          <w:tcPr>
            <w:tcMar>
              <w:top w:type="dxa" w:w="80"/>
              <w:left w:type="dxa" w:w="120"/>
              <w:bottom w:type="dxa" w:w="80"/>
              <w:right w:type="dxa" w:w="120"/>
            </w:tcMar>
            <w:vAlign w:val="center"/>
          </w:tcPr>
          <w:p>
            <w:r>
              <w:t xml:space="preserve">Flask-WTF</w:t>
            </w:r>
          </w:p>
        </w:tc>
        <w:tc>
          <w:tcPr>
            <w:tcMar>
              <w:top w:type="dxa" w:w="80"/>
              <w:left w:type="dxa" w:w="120"/>
              <w:bottom w:type="dxa" w:w="80"/>
              <w:right w:type="dxa" w:w="120"/>
            </w:tcMar>
            <w:vAlign w:val="center"/>
          </w:tcPr>
          <w:p>
            <w:r>
              <w:t xml:space="preserve">Bajo</w:t>
            </w:r>
          </w:p>
        </w:tc>
      </w:tr>
      <w:tr>
        <w:tc>
          <w:tcPr>
            <w:tcMar>
              <w:top w:type="dxa" w:w="80"/>
              <w:left w:type="dxa" w:w="120"/>
              <w:bottom w:type="dxa" w:w="80"/>
              <w:right w:type="dxa" w:w="120"/>
            </w:tcMar>
            <w:vAlign w:val="center"/>
          </w:tcPr>
          <w:p>
            <w:r>
              <w:t xml:space="preserve">Sin rate limiting</w:t>
            </w:r>
          </w:p>
        </w:tc>
        <w:tc>
          <w:tcPr>
            <w:tcMar>
              <w:top w:type="dxa" w:w="80"/>
              <w:left w:type="dxa" w:w="120"/>
              <w:bottom w:type="dxa" w:w="80"/>
              <w:right w:type="dxa" w:w="120"/>
            </w:tcMar>
            <w:vAlign w:val="center"/>
          </w:tcPr>
          <w:p>
            <w:r>
              <w:t xml:space="preserve">Media</w:t>
            </w:r>
          </w:p>
        </w:tc>
        <w:tc>
          <w:tcPr>
            <w:tcMar>
              <w:top w:type="dxa" w:w="80"/>
              <w:left w:type="dxa" w:w="120"/>
              <w:bottom w:type="dxa" w:w="80"/>
              <w:right w:type="dxa" w:w="120"/>
            </w:tcMar>
            <w:vAlign w:val="center"/>
          </w:tcPr>
          <w:p>
            <w:r>
              <w:t xml:space="preserve">Flask-Limiter</w:t>
            </w:r>
          </w:p>
        </w:tc>
        <w:tc>
          <w:tcPr>
            <w:tcMar>
              <w:top w:type="dxa" w:w="80"/>
              <w:left w:type="dxa" w:w="120"/>
              <w:bottom w:type="dxa" w:w="80"/>
              <w:right w:type="dxa" w:w="120"/>
            </w:tcMar>
            <w:vAlign w:val="center"/>
          </w:tcPr>
          <w:p>
            <w:r>
              <w:t xml:space="preserve">Bajo</w:t>
            </w:r>
          </w:p>
        </w:tc>
      </w:tr>
      <w:tr>
        <w:tc>
          <w:tcPr>
            <w:tcMar>
              <w:top w:type="dxa" w:w="80"/>
              <w:left w:type="dxa" w:w="120"/>
              <w:bottom w:type="dxa" w:w="80"/>
              <w:right w:type="dxa" w:w="120"/>
            </w:tcMar>
            <w:vAlign w:val="center"/>
          </w:tcPr>
          <w:p>
            <w:r>
              <w:t xml:space="preserve">Gmail en .env</w:t>
            </w:r>
          </w:p>
        </w:tc>
        <w:tc>
          <w:tcPr>
            <w:tcMar>
              <w:top w:type="dxa" w:w="80"/>
              <w:left w:type="dxa" w:w="120"/>
              <w:bottom w:type="dxa" w:w="80"/>
              <w:right w:type="dxa" w:w="120"/>
            </w:tcMar>
            <w:vAlign w:val="center"/>
          </w:tcPr>
          <w:p>
            <w:r>
              <w:t xml:space="preserve">Media</w:t>
            </w:r>
          </w:p>
        </w:tc>
        <w:tc>
          <w:tcPr>
            <w:tcMar>
              <w:top w:type="dxa" w:w="80"/>
              <w:left w:type="dxa" w:w="120"/>
              <w:bottom w:type="dxa" w:w="80"/>
              <w:right w:type="dxa" w:w="120"/>
            </w:tcMar>
            <w:vAlign w:val="center"/>
          </w:tcPr>
          <w:p>
            <w:r>
              <w:t xml:space="preserve">Servicio SMTP dedicado</w:t>
            </w:r>
          </w:p>
        </w:tc>
        <w:tc>
          <w:tcPr>
            <w:tcMar>
              <w:top w:type="dxa" w:w="80"/>
              <w:left w:type="dxa" w:w="120"/>
              <w:bottom w:type="dxa" w:w="80"/>
              <w:right w:type="dxa" w:w="120"/>
            </w:tcMar>
            <w:vAlign w:val="center"/>
          </w:tcPr>
          <w:p>
            <w:r>
              <w:t xml:space="preserve">Bajo</w:t>
            </w:r>
          </w:p>
        </w:tc>
      </w:tr>
      <w:tr>
        <w:tc>
          <w:tcPr>
            <w:tcMar>
              <w:top w:type="dxa" w:w="80"/>
              <w:left w:type="dxa" w:w="120"/>
              <w:bottom w:type="dxa" w:w="80"/>
              <w:right w:type="dxa" w:w="120"/>
            </w:tcMar>
            <w:vAlign w:val="center"/>
          </w:tcPr>
          <w:p>
            <w:r>
              <w:t xml:space="preserve">Sin HTTPS</w:t>
            </w:r>
          </w:p>
        </w:tc>
        <w:tc>
          <w:tcPr>
            <w:tcMar>
              <w:top w:type="dxa" w:w="80"/>
              <w:left w:type="dxa" w:w="120"/>
              <w:bottom w:type="dxa" w:w="80"/>
              <w:right w:type="dxa" w:w="120"/>
            </w:tcMar>
            <w:vAlign w:val="center"/>
          </w:tcPr>
          <w:p>
            <w:r>
              <w:t xml:space="preserve">Alta (en red pública)</w:t>
            </w:r>
          </w:p>
        </w:tc>
        <w:tc>
          <w:tcPr>
            <w:tcMar>
              <w:top w:type="dxa" w:w="80"/>
              <w:left w:type="dxa" w:w="120"/>
              <w:bottom w:type="dxa" w:w="80"/>
              <w:right w:type="dxa" w:w="120"/>
            </w:tcMar>
            <w:vAlign w:val="center"/>
          </w:tcPr>
          <w:p>
            <w:r>
              <w:t xml:space="preserve">Nginx + Certbot, o HTTPS gestionado por Render</w:t>
            </w:r>
          </w:p>
        </w:tc>
        <w:tc>
          <w:tcPr>
            <w:tcMar>
              <w:top w:type="dxa" w:w="80"/>
              <w:left w:type="dxa" w:w="120"/>
              <w:bottom w:type="dxa" w:w="80"/>
              <w:right w:type="dxa" w:w="120"/>
            </w:tcMar>
            <w:vAlign w:val="center"/>
          </w:tcPr>
          <w:p>
            <w:r>
              <w:t xml:space="preserve">Bajo</w:t>
            </w:r>
          </w:p>
        </w:tc>
      </w:tr>
      <w:tr>
        <w:tc>
          <w:tcPr>
            <w:tcMar>
              <w:top w:type="dxa" w:w="80"/>
              <w:left w:type="dxa" w:w="120"/>
              <w:bottom w:type="dxa" w:w="80"/>
              <w:right w:type="dxa" w:w="120"/>
            </w:tcMar>
            <w:vAlign w:val="center"/>
          </w:tcPr>
          <w:p>
            <w:r>
              <w:t xml:space="preserve">Sin connection pooling</w:t>
            </w:r>
          </w:p>
        </w:tc>
        <w:tc>
          <w:tcPr>
            <w:tcMar>
              <w:top w:type="dxa" w:w="80"/>
              <w:left w:type="dxa" w:w="120"/>
              <w:bottom w:type="dxa" w:w="80"/>
              <w:right w:type="dxa" w:w="120"/>
            </w:tcMar>
            <w:vAlign w:val="center"/>
          </w:tcPr>
          <w:p>
            <w:r>
              <w:t xml:space="preserve">Baja (rendimiento)</w:t>
            </w:r>
          </w:p>
        </w:tc>
        <w:tc>
          <w:tcPr>
            <w:tcMar>
              <w:top w:type="dxa" w:w="80"/>
              <w:left w:type="dxa" w:w="120"/>
              <w:bottom w:type="dxa" w:w="80"/>
              <w:right w:type="dxa" w:w="120"/>
            </w:tcMar>
            <w:vAlign w:val="center"/>
          </w:tcPr>
          <w:p>
            <w:r>
              <w:t xml:space="preserve">DBUtils PooledDB sobre PyMySQL</w:t>
            </w:r>
          </w:p>
        </w:tc>
        <w:tc>
          <w:tcPr>
            <w:tcMar>
              <w:top w:type="dxa" w:w="80"/>
              <w:left w:type="dxa" w:w="120"/>
              <w:bottom w:type="dxa" w:w="80"/>
              <w:right w:type="dxa" w:w="120"/>
            </w:tcMar>
            <w:vAlign w:val="center"/>
          </w:tcPr>
          <w:p>
            <w:r>
              <w:t xml:space="preserve">Medio</w:t>
            </w:r>
          </w:p>
        </w:tc>
      </w:tr>
      <w:tr>
        <w:tc>
          <w:tcPr>
            <w:tcMar>
              <w:top w:type="dxa" w:w="80"/>
              <w:left w:type="dxa" w:w="120"/>
              <w:bottom w:type="dxa" w:w="80"/>
              <w:right w:type="dxa" w:w="120"/>
            </w:tcMar>
            <w:vAlign w:val="center"/>
          </w:tcPr>
          <w:p>
            <w:r>
              <w:t xml:space="preserve">Credencial de BD con acceso total en .env/secret</w:t>
            </w:r>
          </w:p>
        </w:tc>
        <w:tc>
          <w:tcPr>
            <w:tcMar>
              <w:top w:type="dxa" w:w="80"/>
              <w:left w:type="dxa" w:w="120"/>
              <w:bottom w:type="dxa" w:w="80"/>
              <w:right w:type="dxa" w:w="120"/>
            </w:tcMar>
            <w:vAlign w:val="center"/>
          </w:tcPr>
          <w:p>
            <w:r>
              <w:t xml:space="preserve">Media</w:t>
            </w:r>
          </w:p>
        </w:tc>
        <w:tc>
          <w:tcPr>
            <w:tcMar>
              <w:top w:type="dxa" w:w="80"/>
              <w:left w:type="dxa" w:w="120"/>
              <w:bottom w:type="dxa" w:w="80"/>
              <w:right w:type="dxa" w:w="120"/>
            </w:tcMar>
            <w:vAlign w:val="center"/>
          </w:tcPr>
          <w:p>
            <w:r>
              <w:t xml:space="preserve">Permisos restrictivos en .env, secrets gestionados en Render</w:t>
            </w:r>
          </w:p>
        </w:tc>
        <w:tc>
          <w:tcPr>
            <w:tcMar>
              <w:top w:type="dxa" w:w="80"/>
              <w:left w:type="dxa" w:w="120"/>
              <w:bottom w:type="dxa" w:w="80"/>
              <w:right w:type="dxa" w:w="120"/>
            </w:tcMar>
            <w:vAlign w:val="center"/>
          </w:tcPr>
          <w:p>
            <w:r>
              <w:t xml:space="preserve">Inmediato</w:t>
            </w:r>
          </w:p>
        </w:tc>
      </w:tr>
    </w:tbl>
    <w:p>
      <w:pPr>
        <w:pStyle w:val="Heading1"/>
        <w:pageBreakBefore/>
        <w:spacing w:after="240" w:before="480"/>
      </w:pPr>
      <w:r>
        <w:t xml:space="preserve">4. Limitaciones conocidas y próximos pasos</w:t>
      </w:r>
    </w:p>
    <w:p>
      <w:pPr>
        <w:spacing w:after="160"/>
      </w:pPr>
      <w:r>
        <w:t xml:space="preserve">Este resumen refleja las decisiones de arquitectura que hoy generan deuda técnica, por qué no bloquean el uso actual del sistema, y el paso natural siguiente para cada una. Es un mapa de estado y ruta, no una lista de disculpas.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shd w:fill="1F3864" w:color="1F3864" w:val="solid"/>
            <w:tcMar>
              <w:top w:type="dxa" w:w="100"/>
              <w:left w:type="dxa" w:w="120"/>
              <w:bottom w:type="dxa" w:w="100"/>
              <w:right w:type="dxa" w:w="120"/>
            </w:tcMar>
            <w:vAlign w:val="center"/>
          </w:tcPr>
          <w:p>
            <w:r>
              <w:rPr>
                <w:b/>
                <w:bCs/>
                <w:color w:val="FFFFFF"/>
              </w:rPr>
              <w:t xml:space="preserve">Área</w:t>
            </w:r>
          </w:p>
        </w:tc>
        <w:tc>
          <w:tcPr>
            <w:shd w:fill="1F3864" w:color="1F3864" w:val="solid"/>
            <w:tcMar>
              <w:top w:type="dxa" w:w="100"/>
              <w:left w:type="dxa" w:w="120"/>
              <w:bottom w:type="dxa" w:w="100"/>
              <w:right w:type="dxa" w:w="120"/>
            </w:tcMar>
            <w:vAlign w:val="center"/>
          </w:tcPr>
          <w:p>
            <w:r>
              <w:rPr>
                <w:b/>
                <w:bCs/>
                <w:color w:val="FFFFFF"/>
              </w:rPr>
              <w:t xml:space="preserve">Problema</w:t>
            </w:r>
          </w:p>
        </w:tc>
        <w:tc>
          <w:tcPr>
            <w:shd w:fill="1F3864" w:color="1F3864" w:val="solid"/>
            <w:tcMar>
              <w:top w:type="dxa" w:w="100"/>
              <w:left w:type="dxa" w:w="120"/>
              <w:bottom w:type="dxa" w:w="100"/>
              <w:right w:type="dxa" w:w="120"/>
            </w:tcMar>
            <w:vAlign w:val="center"/>
          </w:tcPr>
          <w:p>
            <w:r>
              <w:rPr>
                <w:b/>
                <w:bCs/>
                <w:color w:val="FFFFFF"/>
              </w:rPr>
              <w:t xml:space="preserve">Impacto</w:t>
            </w:r>
          </w:p>
        </w:tc>
      </w:tr>
      <w:tr>
        <w:tc>
          <w:tcPr>
            <w:tcMar>
              <w:top w:type="dxa" w:w="80"/>
              <w:left w:type="dxa" w:w="120"/>
              <w:bottom w:type="dxa" w:w="80"/>
              <w:right w:type="dxa" w:w="120"/>
            </w:tcMar>
            <w:vAlign w:val="center"/>
          </w:tcPr>
          <w:p>
            <w:r>
              <w:t xml:space="preserve">funciones_home.py</w:t>
            </w:r>
          </w:p>
        </w:tc>
        <w:tc>
          <w:tcPr>
            <w:tcMar>
              <w:top w:type="dxa" w:w="80"/>
              <w:left w:type="dxa" w:w="120"/>
              <w:bottom w:type="dxa" w:w="80"/>
              <w:right w:type="dxa" w:w="120"/>
            </w:tcMar>
            <w:vAlign w:val="center"/>
          </w:tcPr>
          <w:p>
            <w:r>
              <w:t xml:space="preserve">~8900 líneas en un solo archivo</w:t>
            </w:r>
          </w:p>
        </w:tc>
        <w:tc>
          <w:tcPr>
            <w:tcMar>
              <w:top w:type="dxa" w:w="80"/>
              <w:left w:type="dxa" w:w="120"/>
              <w:bottom w:type="dxa" w:w="80"/>
              <w:right w:type="dxa" w:w="120"/>
            </w:tcMar>
            <w:vAlign w:val="center"/>
          </w:tcPr>
          <w:p>
            <w:r>
              <w:t xml:space="preserve">Mantenibilidad crítica. Dificulta pruebas y cambios aislados.</w:t>
            </w:r>
          </w:p>
        </w:tc>
      </w:tr>
      <w:tr>
        <w:tc>
          <w:tcPr>
            <w:tcMar>
              <w:top w:type="dxa" w:w="80"/>
              <w:left w:type="dxa" w:w="120"/>
              <w:bottom w:type="dxa" w:w="80"/>
              <w:right w:type="dxa" w:w="120"/>
            </w:tcMar>
            <w:vAlign w:val="center"/>
          </w:tcPr>
          <w:p>
            <w:r>
              <w:t xml:space="preserve">Sin ORM</w:t>
            </w:r>
          </w:p>
        </w:tc>
        <w:tc>
          <w:tcPr>
            <w:tcMar>
              <w:top w:type="dxa" w:w="80"/>
              <w:left w:type="dxa" w:w="120"/>
              <w:bottom w:type="dxa" w:w="80"/>
              <w:right w:type="dxa" w:w="120"/>
            </w:tcMar>
            <w:vAlign w:val="center"/>
          </w:tcPr>
          <w:p>
            <w:r>
              <w:t xml:space="preserve">SQL directo en cada función de controller</w:t>
            </w:r>
          </w:p>
        </w:tc>
        <w:tc>
          <w:tcPr>
            <w:tcMar>
              <w:top w:type="dxa" w:w="80"/>
              <w:left w:type="dxa" w:w="120"/>
              <w:bottom w:type="dxa" w:w="80"/>
              <w:right w:type="dxa" w:w="120"/>
            </w:tcMar>
            <w:vAlign w:val="center"/>
          </w:tcPr>
          <w:p>
            <w:r>
              <w:t xml:space="preserve">Mayor verbosidad, sin migraciones automáticas, integridad referencial delegada a la aplicación.</w:t>
            </w:r>
          </w:p>
        </w:tc>
      </w:tr>
      <w:tr>
        <w:tc>
          <w:tcPr>
            <w:tcMar>
              <w:top w:type="dxa" w:w="80"/>
              <w:left w:type="dxa" w:w="120"/>
              <w:bottom w:type="dxa" w:w="80"/>
              <w:right w:type="dxa" w:w="120"/>
            </w:tcMar>
            <w:vAlign w:val="center"/>
          </w:tcPr>
          <w:p>
            <w:r>
              <w:t xml:space="preserve">Sin connection pooling</w:t>
            </w:r>
          </w:p>
        </w:tc>
        <w:tc>
          <w:tcPr>
            <w:tcMar>
              <w:top w:type="dxa" w:w="80"/>
              <w:left w:type="dxa" w:w="120"/>
              <w:bottom w:type="dxa" w:w="80"/>
              <w:right w:type="dxa" w:w="120"/>
            </w:tcMar>
            <w:vAlign w:val="center"/>
          </w:tcPr>
          <w:p>
            <w:r>
              <w:t xml:space="preserve">Nueva conexión PyMySQL por request</w:t>
            </w:r>
          </w:p>
        </w:tc>
        <w:tc>
          <w:tcPr>
            <w:tcMar>
              <w:top w:type="dxa" w:w="80"/>
              <w:left w:type="dxa" w:w="120"/>
              <w:bottom w:type="dxa" w:w="80"/>
              <w:right w:type="dxa" w:w="120"/>
            </w:tcMar>
            <w:vAlign w:val="center"/>
          </w:tcPr>
          <w:p>
            <w:r>
              <w:t xml:space="preserve">Overhead de red en alta concurrencia.</w:t>
            </w:r>
          </w:p>
        </w:tc>
      </w:tr>
      <w:tr>
        <w:tc>
          <w:tcPr>
            <w:tcMar>
              <w:top w:type="dxa" w:w="80"/>
              <w:left w:type="dxa" w:w="120"/>
              <w:bottom w:type="dxa" w:w="80"/>
              <w:right w:type="dxa" w:w="120"/>
            </w:tcMar>
            <w:vAlign w:val="center"/>
          </w:tcPr>
          <w:p>
            <w:r>
              <w:t xml:space="preserve">Sin Blueprints</w:t>
            </w:r>
          </w:p>
        </w:tc>
        <w:tc>
          <w:tcPr>
            <w:tcMar>
              <w:top w:type="dxa" w:w="80"/>
              <w:left w:type="dxa" w:w="120"/>
              <w:bottom w:type="dxa" w:w="80"/>
              <w:right w:type="dxa" w:w="120"/>
            </w:tcMar>
            <w:vAlign w:val="center"/>
          </w:tcPr>
          <w:p>
            <w:r>
              <w:t xml:space="preserve">Todo en dos archivos de rutas</w:t>
            </w:r>
          </w:p>
        </w:tc>
        <w:tc>
          <w:tcPr>
            <w:tcMar>
              <w:top w:type="dxa" w:w="80"/>
              <w:left w:type="dxa" w:w="120"/>
              <w:bottom w:type="dxa" w:w="80"/>
              <w:right w:type="dxa" w:w="120"/>
            </w:tcMar>
            <w:vAlign w:val="center"/>
          </w:tcPr>
          <w:p>
            <w:r>
              <w:t xml:space="preserve">Dificulta escalar el equipo o extraer módulos.</w:t>
            </w:r>
          </w:p>
        </w:tc>
      </w:tr>
      <w:tr>
        <w:tc>
          <w:tcPr>
            <w:tcMar>
              <w:top w:type="dxa" w:w="80"/>
              <w:left w:type="dxa" w:w="120"/>
              <w:bottom w:type="dxa" w:w="80"/>
              <w:right w:type="dxa" w:w="120"/>
            </w:tcMar>
            <w:vAlign w:val="center"/>
          </w:tcPr>
          <w:p>
            <w:r>
              <w:t xml:space="preserve">Sin CSRF</w:t>
            </w:r>
          </w:p>
        </w:tc>
        <w:tc>
          <w:tcPr>
            <w:tcMar>
              <w:top w:type="dxa" w:w="80"/>
              <w:left w:type="dxa" w:w="120"/>
              <w:bottom w:type="dxa" w:w="80"/>
              <w:right w:type="dxa" w:w="120"/>
            </w:tcMar>
            <w:vAlign w:val="center"/>
          </w:tcPr>
          <w:p>
            <w:r>
              <w:t xml:space="preserve">Formularios sin token CSRF</w:t>
            </w:r>
          </w:p>
        </w:tc>
        <w:tc>
          <w:tcPr>
            <w:tcMar>
              <w:top w:type="dxa" w:w="80"/>
              <w:left w:type="dxa" w:w="120"/>
              <w:bottom w:type="dxa" w:w="80"/>
              <w:right w:type="dxa" w:w="120"/>
            </w:tcMar>
            <w:vAlign w:val="center"/>
          </w:tcPr>
          <w:p>
            <w:r>
              <w:t xml:space="preserve">Vulnerable a ataques cross-site request forgery.</w:t>
            </w:r>
          </w:p>
        </w:tc>
      </w:tr>
      <w:tr>
        <w:tc>
          <w:tcPr>
            <w:tcMar>
              <w:top w:type="dxa" w:w="80"/>
              <w:left w:type="dxa" w:w="120"/>
              <w:bottom w:type="dxa" w:w="80"/>
              <w:right w:type="dxa" w:w="120"/>
            </w:tcMar>
            <w:vAlign w:val="center"/>
          </w:tcPr>
          <w:p>
            <w:r>
              <w:t xml:space="preserve">Sin tests</w:t>
            </w:r>
          </w:p>
        </w:tc>
        <w:tc>
          <w:tcPr>
            <w:tcMar>
              <w:top w:type="dxa" w:w="80"/>
              <w:left w:type="dxa" w:w="120"/>
              <w:bottom w:type="dxa" w:w="80"/>
              <w:right w:type="dxa" w:w="120"/>
            </w:tcMar>
            <w:vAlign w:val="center"/>
          </w:tcPr>
          <w:p>
            <w:r>
              <w:t xml:space="preserve">Cero cobertura de pruebas automatizadas</w:t>
            </w:r>
          </w:p>
        </w:tc>
        <w:tc>
          <w:tcPr>
            <w:tcMar>
              <w:top w:type="dxa" w:w="80"/>
              <w:left w:type="dxa" w:w="120"/>
              <w:bottom w:type="dxa" w:w="80"/>
              <w:right w:type="dxa" w:w="120"/>
            </w:tcMar>
            <w:vAlign w:val="center"/>
          </w:tcPr>
          <w:p>
            <w:r>
              <w:t xml:space="preserve">Riesgo alto ante refactorizaciones.</w:t>
            </w:r>
          </w:p>
        </w:tc>
      </w:tr>
    </w:tbl>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00"/>
      </w:tblGrid>
      <w:tr>
        <w:trPr>
          <w:tblHeader/>
        </w:trPr>
        <w:tc>
          <w:tcPr>
            <w:shd w:fill="1F3864" w:color="1F3864" w:val="solid"/>
            <w:tcMar>
              <w:top w:type="dxa" w:w="100"/>
              <w:left w:type="dxa" w:w="120"/>
              <w:bottom w:type="dxa" w:w="100"/>
              <w:right w:type="dxa" w:w="120"/>
            </w:tcMar>
            <w:vAlign w:val="center"/>
          </w:tcPr>
          <w:p>
            <w:r>
              <w:rPr>
                <w:b/>
                <w:bCs/>
                <w:color w:val="FFFFFF"/>
              </w:rPr>
              <w:t xml:space="preserve">Ítem</w:t>
            </w:r>
          </w:p>
        </w:tc>
        <w:tc>
          <w:tcPr>
            <w:shd w:fill="1F3864" w:color="1F3864" w:val="solid"/>
            <w:tcMar>
              <w:top w:type="dxa" w:w="100"/>
              <w:left w:type="dxa" w:w="120"/>
              <w:bottom w:type="dxa" w:w="100"/>
              <w:right w:type="dxa" w:w="120"/>
            </w:tcMar>
            <w:vAlign w:val="center"/>
          </w:tcPr>
          <w:p>
            <w:r>
              <w:rPr>
                <w:b/>
                <w:bCs/>
                <w:color w:val="FFFFFF"/>
              </w:rPr>
              <w:t xml:space="preserve">Bloquea hoy</w:t>
            </w:r>
          </w:p>
        </w:tc>
        <w:tc>
          <w:tcPr>
            <w:shd w:fill="1F3864" w:color="1F3864" w:val="solid"/>
            <w:tcMar>
              <w:top w:type="dxa" w:w="100"/>
              <w:left w:type="dxa" w:w="120"/>
              <w:bottom w:type="dxa" w:w="100"/>
              <w:right w:type="dxa" w:w="120"/>
            </w:tcMar>
            <w:vAlign w:val="center"/>
          </w:tcPr>
          <w:p>
            <w:r>
              <w:rPr>
                <w:b/>
                <w:bCs/>
                <w:color w:val="FFFFFF"/>
              </w:rPr>
              <w:t xml:space="preserve">Esfuerzo del próximo paso</w:t>
            </w:r>
          </w:p>
        </w:tc>
      </w:tr>
      <w:tr>
        <w:tc>
          <w:tcPr>
            <w:tcMar>
              <w:top w:type="dxa" w:w="80"/>
              <w:left w:type="dxa" w:w="120"/>
              <w:bottom w:type="dxa" w:w="80"/>
              <w:right w:type="dxa" w:w="120"/>
            </w:tcMar>
            <w:vAlign w:val="center"/>
          </w:tcPr>
          <w:p>
            <w:r>
              <w:t xml:space="preserve">Controlador monolítico</w:t>
            </w:r>
          </w:p>
        </w:tc>
        <w:tc>
          <w:tcPr>
            <w:tcMar>
              <w:top w:type="dxa" w:w="80"/>
              <w:left w:type="dxa" w:w="120"/>
              <w:bottom w:type="dxa" w:w="80"/>
              <w:right w:type="dxa" w:w="120"/>
            </w:tcMar>
            <w:vAlign w:val="center"/>
          </w:tcPr>
          <w:p>
            <w:r>
              <w:t xml:space="preserve">No</w:t>
            </w:r>
          </w:p>
        </w:tc>
        <w:tc>
          <w:tcPr>
            <w:tcMar>
              <w:top w:type="dxa" w:w="80"/>
              <w:left w:type="dxa" w:w="120"/>
              <w:bottom w:type="dxa" w:w="80"/>
              <w:right w:type="dxa" w:w="120"/>
            </w:tcMar>
            <w:vAlign w:val="center"/>
          </w:tcPr>
          <w:p>
            <w:r>
              <w:t xml:space="preserve">Alto</w:t>
            </w:r>
          </w:p>
        </w:tc>
      </w:tr>
      <w:tr>
        <w:tc>
          <w:tcPr>
            <w:tcMar>
              <w:top w:type="dxa" w:w="80"/>
              <w:left w:type="dxa" w:w="120"/>
              <w:bottom w:type="dxa" w:w="80"/>
              <w:right w:type="dxa" w:w="120"/>
            </w:tcMar>
            <w:vAlign w:val="center"/>
          </w:tcPr>
          <w:p>
            <w:r>
              <w:t xml:space="preserve">Sin ORM</w:t>
            </w:r>
          </w:p>
        </w:tc>
        <w:tc>
          <w:tcPr>
            <w:tcMar>
              <w:top w:type="dxa" w:w="80"/>
              <w:left w:type="dxa" w:w="120"/>
              <w:bottom w:type="dxa" w:w="80"/>
              <w:right w:type="dxa" w:w="120"/>
            </w:tcMar>
            <w:vAlign w:val="center"/>
          </w:tcPr>
          <w:p>
            <w:r>
              <w:t xml:space="preserve">No</w:t>
            </w:r>
          </w:p>
        </w:tc>
        <w:tc>
          <w:tcPr>
            <w:tcMar>
              <w:top w:type="dxa" w:w="80"/>
              <w:left w:type="dxa" w:w="120"/>
              <w:bottom w:type="dxa" w:w="80"/>
              <w:right w:type="dxa" w:w="120"/>
            </w:tcMar>
            <w:vAlign w:val="center"/>
          </w:tcPr>
          <w:p>
            <w:r>
              <w:t xml:space="preserve">Medio (opcional)</w:t>
            </w:r>
          </w:p>
        </w:tc>
      </w:tr>
      <w:tr>
        <w:tc>
          <w:tcPr>
            <w:tcMar>
              <w:top w:type="dxa" w:w="80"/>
              <w:left w:type="dxa" w:w="120"/>
              <w:bottom w:type="dxa" w:w="80"/>
              <w:right w:type="dxa" w:w="120"/>
            </w:tcMar>
            <w:vAlign w:val="center"/>
          </w:tcPr>
          <w:p>
            <w:r>
              <w:t xml:space="preserve">Sin connection pooling</w:t>
            </w:r>
          </w:p>
        </w:tc>
        <w:tc>
          <w:tcPr>
            <w:tcMar>
              <w:top w:type="dxa" w:w="80"/>
              <w:left w:type="dxa" w:w="120"/>
              <w:bottom w:type="dxa" w:w="80"/>
              <w:right w:type="dxa" w:w="120"/>
            </w:tcMar>
            <w:vAlign w:val="center"/>
          </w:tcPr>
          <w:p>
            <w:r>
              <w:t xml:space="preserve">No</w:t>
            </w:r>
          </w:p>
        </w:tc>
        <w:tc>
          <w:tcPr>
            <w:tcMar>
              <w:top w:type="dxa" w:w="80"/>
              <w:left w:type="dxa" w:w="120"/>
              <w:bottom w:type="dxa" w:w="80"/>
              <w:right w:type="dxa" w:w="120"/>
            </w:tcMar>
            <w:vAlign w:val="center"/>
          </w:tcPr>
          <w:p>
            <w:r>
              <w:t xml:space="preserve">Bajo</w:t>
            </w:r>
          </w:p>
        </w:tc>
      </w:tr>
      <w:tr>
        <w:tc>
          <w:tcPr>
            <w:tcMar>
              <w:top w:type="dxa" w:w="80"/>
              <w:left w:type="dxa" w:w="120"/>
              <w:bottom w:type="dxa" w:w="80"/>
              <w:right w:type="dxa" w:w="120"/>
            </w:tcMar>
            <w:vAlign w:val="center"/>
          </w:tcPr>
          <w:p>
            <w:r>
              <w:t xml:space="preserve">Sin CSRF</w:t>
            </w:r>
          </w:p>
        </w:tc>
        <w:tc>
          <w:tcPr>
            <w:tcMar>
              <w:top w:type="dxa" w:w="80"/>
              <w:left w:type="dxa" w:w="120"/>
              <w:bottom w:type="dxa" w:w="80"/>
              <w:right w:type="dxa" w:w="120"/>
            </w:tcMar>
            <w:vAlign w:val="center"/>
          </w:tcPr>
          <w:p>
            <w:r>
              <w:t xml:space="preserve">No</w:t>
            </w:r>
          </w:p>
        </w:tc>
        <w:tc>
          <w:tcPr>
            <w:tcMar>
              <w:top w:type="dxa" w:w="80"/>
              <w:left w:type="dxa" w:w="120"/>
              <w:bottom w:type="dxa" w:w="80"/>
              <w:right w:type="dxa" w:w="120"/>
            </w:tcMar>
            <w:vAlign w:val="center"/>
          </w:tcPr>
          <w:p>
            <w:r>
              <w:t xml:space="preserve">Bajo</w:t>
            </w:r>
          </w:p>
        </w:tc>
      </w:tr>
      <w:tr>
        <w:tc>
          <w:tcPr>
            <w:tcMar>
              <w:top w:type="dxa" w:w="80"/>
              <w:left w:type="dxa" w:w="120"/>
              <w:bottom w:type="dxa" w:w="80"/>
              <w:right w:type="dxa" w:w="120"/>
            </w:tcMar>
            <w:vAlign w:val="center"/>
          </w:tcPr>
          <w:p>
            <w:r>
              <w:t xml:space="preserve">Sin tests automatizados</w:t>
            </w:r>
          </w:p>
        </w:tc>
        <w:tc>
          <w:tcPr>
            <w:tcMar>
              <w:top w:type="dxa" w:w="80"/>
              <w:left w:type="dxa" w:w="120"/>
              <w:bottom w:type="dxa" w:w="80"/>
              <w:right w:type="dxa" w:w="120"/>
            </w:tcMar>
            <w:vAlign w:val="center"/>
          </w:tcPr>
          <w:p>
            <w:r>
              <w:t xml:space="preserve">No</w:t>
            </w:r>
          </w:p>
        </w:tc>
        <w:tc>
          <w:tcPr>
            <w:tcMar>
              <w:top w:type="dxa" w:w="80"/>
              <w:left w:type="dxa" w:w="120"/>
              <w:bottom w:type="dxa" w:w="80"/>
              <w:right w:type="dxa" w:w="120"/>
            </w:tcMar>
            <w:vAlign w:val="center"/>
          </w:tcPr>
          <w:p>
            <w:r>
              <w:t xml:space="preserve">Medio (empezando por comisiones)</w:t>
            </w:r>
          </w:p>
        </w:tc>
      </w:tr>
      <w:tr>
        <w:tc>
          <w:tcPr>
            <w:tcMar>
              <w:top w:type="dxa" w:w="80"/>
              <w:left w:type="dxa" w:w="120"/>
              <w:bottom w:type="dxa" w:w="80"/>
              <w:right w:type="dxa" w:w="120"/>
            </w:tcMar>
            <w:vAlign w:val="center"/>
          </w:tcPr>
          <w:p>
            <w:r>
              <w:t xml:space="preserve">Sin Blueprints</w:t>
            </w:r>
          </w:p>
        </w:tc>
        <w:tc>
          <w:tcPr>
            <w:tcMar>
              <w:top w:type="dxa" w:w="80"/>
              <w:left w:type="dxa" w:w="120"/>
              <w:bottom w:type="dxa" w:w="80"/>
              <w:right w:type="dxa" w:w="120"/>
            </w:tcMar>
            <w:vAlign w:val="center"/>
          </w:tcPr>
          <w:p>
            <w:r>
              <w:t xml:space="preserve">No</w:t>
            </w:r>
          </w:p>
        </w:tc>
        <w:tc>
          <w:tcPr>
            <w:tcMar>
              <w:top w:type="dxa" w:w="80"/>
              <w:left w:type="dxa" w:w="120"/>
              <w:bottom w:type="dxa" w:w="80"/>
              <w:right w:type="dxa" w:w="120"/>
            </w:tcMar>
            <w:vAlign w:val="center"/>
          </w:tcPr>
          <w:p>
            <w:r>
              <w:t xml:space="preserve">Alto (junto al split del controlador)</w:t>
            </w:r>
          </w:p>
        </w:tc>
      </w:tr>
    </w:tbl>
    <w:p>
      <w:pPr>
        <w:pStyle w:val="Heading2"/>
        <w:spacing w:after="180" w:before="360"/>
      </w:pPr>
      <w:r>
        <w:t xml:space="preserve">Detalle por punto</w:t>
      </w:r>
    </w:p>
    <w:p>
      <w:pPr>
        <w:pStyle w:val="Heading3"/>
        <w:spacing w:after="140" w:before="280"/>
      </w:pPr>
      <w:r>
        <w:t xml:space="preserve">1. funciones_home.py — controlador monolítico (~8900 líneas)</w:t>
      </w:r>
    </w:p>
    <w:p>
      <w:pPr>
        <w:spacing w:after="160"/>
      </w:pPr>
      <w:r>
        <w:t xml:space="preserve">Toda la lógica de negocio de la aplicación (asegurados, pólizas, siniestros, comisiones, cobranza, reportes) vive en un único archivo Python.</w:t>
      </w:r>
    </w:p>
    <w:p>
      <w:pPr>
        <w:pStyle w:val="ListParagraph"/>
        <w:numPr>
          <w:ilvl w:val="0"/>
          <w:numId w:val="1"/>
        </w:numPr>
        <w:spacing w:after="80"/>
      </w:pPr>
      <w:r>
        <w:rPr>
          <w:b/>
          <w:bCs/>
        </w:rPr>
        <w:t xml:space="preserve">Por qué no bloquea hoy: </w:t>
      </w:r>
      <w:r>
        <w:t xml:space="preserve">el patrón dentro del archivo es uniforme (una función por operación) y el equipo que lo mantiene lo conoce bien. No hay un problema de correctitud, sino de escalabilidad de mantenimiento a futuro.</w:t>
      </w:r>
    </w:p>
    <w:p>
      <w:pPr>
        <w:pStyle w:val="ListParagraph"/>
        <w:numPr>
          <w:ilvl w:val="0"/>
          <w:numId w:val="1"/>
        </w:numPr>
        <w:spacing w:after="80"/>
      </w:pPr>
      <w:r>
        <w:rPr>
          <w:b/>
          <w:bCs/>
        </w:rPr>
        <w:t xml:space="preserve">Próximo paso natural: </w:t>
      </w:r>
      <w:r>
        <w:t xml:space="preserve">dividir por dominio (asegurados, pólizas, siniestros, comisiones, cobranza) en módulos separados, apoyándose en Blueprints de Flask para que el split de rutas acompañe al split de lógica.</w:t>
      </w:r>
    </w:p>
    <w:p>
      <w:pPr>
        <w:pStyle w:val="Heading3"/>
        <w:spacing w:after="140" w:before="280"/>
      </w:pPr>
      <w:r>
        <w:t xml:space="preserve">2. Sin ORM (SQL directo)</w:t>
      </w:r>
    </w:p>
    <w:p>
      <w:pPr>
        <w:spacing w:after="160"/>
      </w:pPr>
      <w:r>
        <w:t xml:space="preserve">Todas las queries se escriben a mano con PyMySQL, sin una capa de mapeo objeto-relacional.</w:t>
      </w:r>
    </w:p>
    <w:p>
      <w:pPr>
        <w:pStyle w:val="ListParagraph"/>
        <w:numPr>
          <w:ilvl w:val="0"/>
          <w:numId w:val="1"/>
        </w:numPr>
        <w:spacing w:after="80"/>
      </w:pPr>
      <w:r>
        <w:rPr>
          <w:b/>
          <w:bCs/>
        </w:rPr>
        <w:t xml:space="preserve">Por qué no bloquea hoy: </w:t>
      </w:r>
      <w:r>
        <w:t xml:space="preserve">da control total sobre las queries y evita el overhead de aprendizaje/abstracción de un ORM sobre un esquema ya estable de 27 tablas.</w:t>
      </w:r>
    </w:p>
    <w:p>
      <w:pPr>
        <w:pStyle w:val="ListParagraph"/>
        <w:numPr>
          <w:ilvl w:val="0"/>
          <w:numId w:val="1"/>
        </w:numPr>
        <w:spacing w:after="80"/>
      </w:pPr>
      <w:r>
        <w:rPr>
          <w:b/>
          <w:bCs/>
        </w:rPr>
        <w:t xml:space="preserve">Próximo paso natural: </w:t>
      </w:r>
      <w:r>
        <w:t xml:space="preserve">no es prioritario introducir un ORM completo hoy; si se decide, sería incremental, empezando por los módulos con lógica más repetitiva (CRUDs simples de ejecutivos/compañías/empleados).</w:t>
      </w:r>
    </w:p>
    <w:p>
      <w:pPr>
        <w:pStyle w:val="Heading3"/>
        <w:spacing w:after="140" w:before="280"/>
      </w:pPr>
      <w:r>
        <w:t xml:space="preserve">3. Sin connection pooling</w:t>
      </w:r>
    </w:p>
    <w:p>
      <w:pPr>
        <w:spacing w:after="160"/>
      </w:pPr>
      <w:r>
        <w:t xml:space="preserve">Cada request abre y cierra una conexión PyMySQL nueva contra MySQL/TiDB Cloud.</w:t>
      </w:r>
    </w:p>
    <w:p>
      <w:pPr>
        <w:pStyle w:val="ListParagraph"/>
        <w:numPr>
          <w:ilvl w:val="0"/>
          <w:numId w:val="1"/>
        </w:numPr>
        <w:spacing w:after="80"/>
      </w:pPr>
      <w:r>
        <w:rPr>
          <w:b/>
          <w:bCs/>
        </w:rPr>
        <w:t xml:space="preserve">Por qué no bloquea hoy: </w:t>
      </w:r>
      <w:r>
        <w:t xml:space="preserve">el volumen de tráfico actual (una corredora, uso interno del equipo) no genera la concurrencia necesaria para que esto sea un cuello de botella real.</w:t>
      </w:r>
    </w:p>
    <w:p>
      <w:pPr>
        <w:pStyle w:val="ListParagraph"/>
        <w:numPr>
          <w:ilvl w:val="0"/>
          <w:numId w:val="1"/>
        </w:numPr>
        <w:spacing w:after="80"/>
      </w:pPr>
      <w:r>
        <w:rPr>
          <w:b/>
          <w:bCs/>
        </w:rPr>
        <w:t xml:space="preserve">Próximo paso natural: </w:t>
      </w:r>
      <w:r>
        <w:t xml:space="preserve">si el tráfico concurrente crece, introducir un pool (por ejemplo DBUtils.PooledDB sobre PyMySQL) es un cambio acotado a conexion/conexionBD.py, sin tocar el resto de la aplicación.</w:t>
      </w:r>
    </w:p>
    <w:p>
      <w:pPr>
        <w:pStyle w:val="Heading3"/>
        <w:spacing w:after="140" w:before="280"/>
      </w:pPr>
      <w:r>
        <w:t xml:space="preserve">4. Sin protección CSRF</w:t>
      </w:r>
    </w:p>
    <w:p>
      <w:pPr>
        <w:spacing w:after="160"/>
      </w:pPr>
      <w:r>
        <w:t xml:space="preserve">Los formularios POST no incluyen tokens CSRF.</w:t>
      </w:r>
    </w:p>
    <w:p>
      <w:pPr>
        <w:pStyle w:val="ListParagraph"/>
        <w:numPr>
          <w:ilvl w:val="0"/>
          <w:numId w:val="1"/>
        </w:numPr>
        <w:spacing w:after="80"/>
      </w:pPr>
      <w:r>
        <w:rPr>
          <w:b/>
          <w:bCs/>
        </w:rPr>
        <w:t xml:space="preserve">Por qué no bloquea hoy: </w:t>
      </w:r>
      <w:r>
        <w:t xml:space="preserve">el sistema es de uso interno, con acceso restringido por login y sin exposición pública de formularios sensibles a terceros no autenticados.</w:t>
      </w:r>
    </w:p>
    <w:p>
      <w:pPr>
        <w:pStyle w:val="ListParagraph"/>
        <w:numPr>
          <w:ilvl w:val="0"/>
          <w:numId w:val="1"/>
        </w:numPr>
        <w:spacing w:after="80"/>
      </w:pPr>
      <w:r>
        <w:rPr>
          <w:b/>
          <w:bCs/>
        </w:rPr>
        <w:t xml:space="preserve">Próximo paso natural: </w:t>
      </w:r>
      <w:r>
        <w:t xml:space="preserve">agregar Flask-WTF (CSRFProtect) es de bajo esfuerzo y es la mejora de seguridad más costo-efectiva disponible.</w:t>
      </w:r>
    </w:p>
    <w:p>
      <w:pPr>
        <w:pStyle w:val="Heading3"/>
        <w:spacing w:after="140" w:before="280"/>
      </w:pPr>
      <w:r>
        <w:t xml:space="preserve">5. Sin tests automatizados</w:t>
      </w:r>
    </w:p>
    <w:p>
      <w:pPr>
        <w:spacing w:after="160"/>
      </w:pPr>
      <w:r>
        <w:t xml:space="preserve">No hay carpeta tests/ ni suite de pruebas automatizadas en el repositorio.</w:t>
      </w:r>
    </w:p>
    <w:p>
      <w:pPr>
        <w:pStyle w:val="ListParagraph"/>
        <w:numPr>
          <w:ilvl w:val="0"/>
          <w:numId w:val="1"/>
        </w:numPr>
        <w:spacing w:after="80"/>
      </w:pPr>
      <w:r>
        <w:rPr>
          <w:b/>
          <w:bCs/>
        </w:rPr>
        <w:t xml:space="preserve">Por qué no bloquea hoy: </w:t>
      </w:r>
      <w:r>
        <w:t xml:space="preserve">el control de calidad hasta ahora se apoya en QA manual sobre los flujos principales (golden paths), que ha sido suficiente para el ritmo de cambios del equipo.</w:t>
      </w:r>
    </w:p>
    <w:p>
      <w:pPr>
        <w:pStyle w:val="ListParagraph"/>
        <w:numPr>
          <w:ilvl w:val="0"/>
          <w:numId w:val="1"/>
        </w:numPr>
        <w:spacing w:after="80"/>
      </w:pPr>
      <w:r>
        <w:rPr>
          <w:b/>
          <w:bCs/>
        </w:rPr>
        <w:t xml:space="preserve">Próximo paso natural: </w:t>
      </w:r>
      <w:r>
        <w:t xml:space="preserve">priorizar tests de integración sobre el módulo de comisiones — es el más complejo (matching de pólizas, bloques de pago, retenciones) y el que más se beneficiaría de una red de seguridad antes de seguir iterando sobre él.</w:t>
      </w:r>
    </w:p>
    <w:p>
      <w:pPr>
        <w:pStyle w:val="Heading3"/>
        <w:spacing w:after="140" w:before="280"/>
      </w:pPr>
      <w:r>
        <w:t xml:space="preserve">6. Sin Blueprints de Flask</w:t>
      </w:r>
    </w:p>
    <w:p>
      <w:pPr>
        <w:spacing w:after="160"/>
      </w:pPr>
      <w:r>
        <w:t xml:space="preserve">Las ~173 rutas de router_home.py (más las de router_login.py) están registradas directamente sobre el objeto app, sin separación modular.</w:t>
      </w:r>
    </w:p>
    <w:p>
      <w:pPr>
        <w:pStyle w:val="ListParagraph"/>
        <w:numPr>
          <w:ilvl w:val="0"/>
          <w:numId w:val="1"/>
        </w:numPr>
        <w:spacing w:after="80"/>
      </w:pPr>
      <w:r>
        <w:rPr>
          <w:b/>
          <w:bCs/>
        </w:rPr>
        <w:t xml:space="preserve">Por qué no bloquea hoy: </w:t>
      </w:r>
      <w:r>
        <w:t xml:space="preserve">con un solo desarrollador/equipo pequeño trabajando sobre el código, la falta de modularidad no genera conflictos de organización todavía.</w:t>
      </w:r>
    </w:p>
    <w:p>
      <w:pPr>
        <w:pStyle w:val="ListParagraph"/>
        <w:numPr>
          <w:ilvl w:val="0"/>
          <w:numId w:val="1"/>
        </w:numPr>
        <w:spacing w:after="80"/>
      </w:pPr>
      <w:r>
        <w:rPr>
          <w:b/>
          <w:bCs/>
        </w:rPr>
        <w:t xml:space="preserve">Próximo paso natural: </w:t>
      </w:r>
      <w:r>
        <w:t xml:space="preserve">introducir Blueprints en paralelo al split de funciones_home.py — son cambios que conviene hacer juntos.</w:t>
      </w:r>
    </w:p>
    <w:p>
      <w:pPr>
        <w:pStyle w:val="Heading1"/>
        <w:pageBreakBefore/>
        <w:spacing w:after="240" w:before="480"/>
      </w:pPr>
      <w:r>
        <w:t xml:space="preserve">5. Estado actual</w:t>
      </w:r>
    </w:p>
    <w:p>
      <w:pPr>
        <w:pStyle w:val="ListParagraph"/>
        <w:numPr>
          <w:ilvl w:val="0"/>
          <w:numId w:val="1"/>
        </w:numPr>
        <w:spacing w:after="80"/>
      </w:pPr>
      <w:r>
        <w:t xml:space="preserve">El camino completo — alta de asegurado, póliza, cobro, comisión y reportes — funciona de punta a punta hoy en producción.</w:t>
      </w:r>
    </w:p>
    <w:p>
      <w:pPr>
        <w:pStyle w:val="ListParagraph"/>
        <w:numPr>
          <w:ilvl w:val="0"/>
          <w:numId w:val="1"/>
        </w:numPr>
        <w:spacing w:after="80"/>
      </w:pPr>
      <w:r>
        <w:t xml:space="preserve">La arquitectura es simple y directa a propósito: un monolito Flask sin capas de abstracción innecesarias, fácil de razonar para el equipo actual.</w:t>
      </w:r>
    </w:p>
    <w:p>
      <w:pPr>
        <w:pStyle w:val="ListParagraph"/>
        <w:numPr>
          <w:ilvl w:val="0"/>
          <w:numId w:val="1"/>
        </w:numPr>
        <w:spacing w:after="80"/>
      </w:pPr>
      <w:r>
        <w:t xml:space="preserve">Hay deuda técnica identificada y priorizada (sin tests automatizados, sin CSRF, sin connection pooling, entre otros), con ruta de mejora definida para cada punto (ver sección 4).</w:t>
      </w:r>
    </w:p>
    <w:p>
      <w:pPr>
        <w:pStyle w:val="ListParagraph"/>
        <w:numPr>
          <w:ilvl w:val="0"/>
          <w:numId w:val="1"/>
        </w:numPr>
        <w:spacing w:after="80"/>
      </w:pPr>
      <w:r>
        <w:t xml:space="preserve">El sistema está activo y en uso, con una base de datos real en TiDB Cloud y despliegue reproducible tanto en Render como en Docker.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2E5395"/>
      <w:sz w:val="32"/>
      <w:szCs w:val="32"/>
    </w:rPr>
  </w:style>
  <w:style w:type="paragraph" w:styleId="Heading2">
    <w:name w:val="Heading 2"/>
    <w:basedOn w:val="Normal"/>
    <w:next w:val="Normal"/>
    <w:qFormat/>
    <w:pPr>
      <w:spacing w:after="150" w:before="300"/>
    </w:pPr>
    <w:rPr>
      <w:b/>
      <w:bCs/>
      <w:color w:val="1F3864"/>
      <w:sz w:val="26"/>
      <w:szCs w:val="26"/>
    </w:rPr>
  </w:style>
  <w:style w:type="paragraph" w:styleId="Heading3">
    <w:name w:val="Heading 3"/>
    <w:basedOn w:val="Normal"/>
    <w:next w:val="Normal"/>
    <w:qFormat/>
    <w:pPr>
      <w:spacing w:after="120" w:before="220"/>
    </w:pPr>
    <w:rPr>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2026-07-19T02:51:49.563Z</dcterms:created>
  <dcterms:modified xsi:type="dcterms:W3CDTF">2026-07-19T02:51:49.568Z</dcterms:modified>
</cp:coreProperties>
</file>

<file path=docProps/custom.xml><?xml version="1.0" encoding="utf-8"?>
<Properties xmlns="http://schemas.openxmlformats.org/officeDocument/2006/custom-properties" xmlns:vt="http://schemas.openxmlformats.org/officeDocument/2006/docPropsVTypes"/>
</file>