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Speculazione sui carburanti in Italia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Pipeline statistica v3  —  Tre crisi energetiche 2021–2026</w:t>
      </w:r>
    </w:p>
    <w:p>
      <w:pPr>
        <w:pBdr>
          <w:bottom w:val="single" w:color="2E75B6" w:sz="6" w:space="8"/>
        </w:pBdr>
        <w:spacing w:after="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Metodologia e architettura dei test per la revisione accademica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pBdr>
          <w:bottom w:val="single" w:color="2E75B6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Domanda di ricerca e ipotesi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Il lavoro testa se i distributori italiani di carburante abbiano ampliato i propri margini lordi al di sopra dei livelli pre-crisi durante le crisi energetiche recenti (Ucraina feb 2022, Iran-Israele giu 2025, Hormuz feb 2026), e se questo comportamento sia specifico all’Italia rispetto ai peer europei con mercato libero.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2800"/>
        <w:gridCol w:w="2126"/>
      </w:tblGrid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Ipotesi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Famiglia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H0 macro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Nessun margine anomalo in nessuna dimensione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Rifiutata se ≥1 famiglia BH rifiuta</w:t>
            </w:r>
          </w:p>
        </w:tc>
        <w:tc>
          <w:tcPr>
            <w:tcW w:type="dxa" w:w="2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 ∪ B ∪ C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H0(i)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Salto pre→post shock non significativo nel margine reale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HAC_t + Mann-Whitney (one-sided)</w:t>
            </w:r>
          </w:p>
        </w:tc>
        <w:tc>
          <w:tcPr>
            <w:tcW w:type="dxa" w:w="2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 — 12 test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H0(iii)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Specificita’ IT = 0 vs 7 EU peer (DiD δ=0)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OLS HC3 DiD (one-sided)</w:t>
            </w:r>
          </w:p>
        </w:tc>
        <w:tc>
          <w:tcPr>
            <w:tcW w:type="dxa" w:w="2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 — 42 test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Famiglia 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Analisi descrittiva: livello reale post-shock vs baseline 2019 (complementare, non H0 dichiarata)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HAC_t + Mann-Whitney (one-sided)</w:t>
            </w:r>
          </w:p>
        </w:tc>
        <w:tc>
          <w:tcPr>
            <w:tcW w:type="dxa" w:w="2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 — 12 test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7070"/>
          <w:sz w:val="22"/>
          <w:szCs w:val="22"/>
        </w:rPr>
        <w:t xml:space="preserve">Definizione del margine lordo (crack spread)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Il margine lordo — proxy del mark-up distributivo — è definito come: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M_it = P_pompa_it - P_wholesale_t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dove P_wholesale è il prezzo futures ARA Eurobob (benzina) o London Gas Oil (diesel), convertito da USD/bbl in EUR/L con il tasso EUR/USD giornaliero. La serie viene deflazionata con HICP Italia (base 2015=100, fonte ECB SDMX) per ottenere il margine reale comparabile tra anni.</w:t>
      </w:r>
    </w:p>
    <w:p>
      <w:r>
        <w:br w:type="page"/>
      </w:r>
    </w:p>
    <w:p>
      <w:pPr>
        <w:pBdr>
          <w:bottom w:val="single" w:color="2E75B6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Architettura della pipeline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 5 script vengono eseguiti in sequenza da 3_run.py. Ogni script dipende esclusivamente dagli output del precedente. Il diagramma mostra fonti dati (sinistra), script (centro) e file prodotti (destra).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/ FONTI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EU Oil Bulletin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yfinance (Brent + EURUSD)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ECB SDMX (HICP)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Investing.com (futures)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3_01_data.py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DDDDFF"/>
                <w:sz w:val="18"/>
                <w:szCs w:val="18"/>
              </w:rPr>
              <w:t xml:space="preserve">Pipeline Dati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BBCC"/>
                <w:sz w:val="15"/>
                <w:szCs w:val="15"/>
              </w:rPr>
              <w:t xml:space="preserve">EU Bulletin | yfinance | HICP ECB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4A2A"/>
                <w:sz w:val="16"/>
                <w:szCs w:val="16"/>
              </w:rPr>
              <w:t xml:space="preserve">3_dataset.csv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4A2A"/>
                <w:sz w:val="16"/>
                <w:szCs w:val="16"/>
              </w:rPr>
              <w:t xml:space="preserve">3_hicp.csv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4A2A"/>
                <w:sz w:val="16"/>
                <w:szCs w:val="16"/>
              </w:rPr>
              <w:t xml:space="preserve">pompa_XX.csv (7 paesi)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3_dataset.csv (log-prezzi wholesale Benzina, Diesel, Brent)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B2C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3_05_changepoint.py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DDDDFF"/>
                <w:sz w:val="18"/>
                <w:szCs w:val="18"/>
              </w:rPr>
              <w:t xml:space="preserve">MCMC Change Point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BBCC"/>
                <w:sz w:val="15"/>
                <w:szCs w:val="15"/>
              </w:rPr>
              <w:t xml:space="preserve">PyMC NUTS | Student-T | tau_price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4A2A"/>
                <w:sz w:val="16"/>
                <w:szCs w:val="16"/>
              </w:rPr>
              <w:t xml:space="preserve">3_cp.csv (MAP + CI 95%)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4A2A"/>
                <w:sz w:val="16"/>
                <w:szCs w:val="16"/>
              </w:rPr>
              <w:t xml:space="preserve">3_cp_diagnostics.csv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3_dataset.csv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3_cp.csv (tau_price wholesale)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3_02_tests.py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DDDDFF"/>
                <w:sz w:val="18"/>
                <w:szCs w:val="18"/>
              </w:rPr>
              <w:t xml:space="preserve">Famiglie A + 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BBCC"/>
                <w:sz w:val="15"/>
                <w:szCs w:val="15"/>
              </w:rPr>
              <w:t xml:space="preserve">HAC_t | Mann-Whitney | n_eff | Andrews BW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4A2A"/>
                <w:sz w:val="16"/>
                <w:szCs w:val="16"/>
              </w:rPr>
              <w:t xml:space="preserve">3_AB.csv (24 test)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4A2A"/>
                <w:sz w:val="16"/>
                <w:szCs w:val="16"/>
              </w:rPr>
              <w:t xml:space="preserve">3_neff_report.csv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pompa_XX.csv (7 paesi EU)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3_cp.csv (tau_price)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3_03_did.py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DDDDFF"/>
                <w:sz w:val="18"/>
                <w:szCs w:val="18"/>
              </w:rPr>
              <w:t xml:space="preserve">Famiglia C — DiD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BBCC"/>
                <w:sz w:val="15"/>
                <w:szCs w:val="15"/>
              </w:rPr>
              <w:t xml:space="preserve">IT vs 7 EU peer | HC3 SE | PTA | windfall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4A2A"/>
                <w:sz w:val="16"/>
                <w:szCs w:val="16"/>
              </w:rPr>
              <w:t xml:space="preserve">3_C.csv (42 test DiD)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4A2A"/>
                <w:sz w:val="16"/>
                <w:szCs w:val="16"/>
              </w:rPr>
              <w:t xml:space="preserve">3_windfall.csv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3_AB.csv + 3_C.csv (66 test totali)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4F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3_04_bh.py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DDDDFF"/>
                <w:sz w:val="18"/>
                <w:szCs w:val="18"/>
              </w:rPr>
              <w:t xml:space="preserve">Correzione BH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BBCC"/>
                <w:sz w:val="15"/>
                <w:szCs w:val="15"/>
              </w:rPr>
              <w:t xml:space="preserve">FDR 5% | 3 famiglie | H0 macro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4A2A"/>
                <w:sz w:val="16"/>
                <w:szCs w:val="16"/>
              </w:rPr>
              <w:t xml:space="preserve">3_bh.csv (66 test + BH)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4A2A"/>
                <w:sz w:val="16"/>
                <w:szCs w:val="16"/>
              </w:rPr>
              <w:t xml:space="preserve">3_table_results.csv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60" w:before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Ipotesi testate: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H0(i) — Famiglia B (12 test): salto pre→post shock non significativo nel margine reale HICP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H0(iii) — Famiglia C (42 test): IT non cresce più dei 7 peer EU post-shock (DiD)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Famiglia A (12 test): analisi descrittiva livello strutturale vs 2019 — complementare, non H0 causale</w:t>
      </w:r>
    </w:p>
    <w:p>
      <w:r>
        <w:br w:type="page"/>
      </w:r>
    </w:p>
    <w:p>
      <w:pPr>
        <w:pBdr>
          <w:bottom w:val="single" w:color="2E75B6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Step 1 — Preparazione dati (3_01_data.py)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1500"/>
        <w:gridCol w:w="3426"/>
      </w:tblGrid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Serie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Frequenza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tecniche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Brent (EUR/bbl)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yfinance BZ=F + EURUSD=X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Settimanale (W-MON)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USD/bbl → EUR/bbl tramite EURUSD spot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Prezzi pompa ex-tasse (IT + 7 controlli)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EU Weekly Oil Bulletin (URL automatico)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Settimanale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Sheet 'Prices wo taxes'; match colonna per prefisso ISO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Futures benzina (Eurobob ARA)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Investing.com — download manuale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Settimanale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EUR/t → EUR/L: divisione per 750 (densità appross.)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Futures diesel (London Gas Oil)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Investing.com — download manuale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Settimanale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USD/t → EUR/L: USD/bbl / 6.35 × EUR/USD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HICP Italia (2015=100)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API ECB SDMX (fallback: tabella annuale)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Mensile → settimanale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Forward-fill mensile; usato per deflazionare margine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7070"/>
          <w:sz w:val="22"/>
          <w:szCs w:val="22"/>
        </w:rPr>
        <w:t xml:space="preserve">Selezione paesi controllo (per DiD — Famiglia C)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Inclusi solo i mercati senza interventi significativi sul prezzo ex-tasse: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00"/>
        <w:gridCol w:w="900"/>
        <w:gridCol w:w="5726"/>
      </w:tblGrid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Incluso?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Motivazione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Germania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SI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Nessun price cap ex-tasse; Tankrabatt giu-ago 2022 è sussidio fiscale inc. tasse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Svezia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SI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Nessun intervento nel periodo analizzato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Paesi Bassi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SI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Mercato libero; alta liquidità wholesale Rotterdam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Belgio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SI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Max-price solo su retail inc. tasse; ex-tasse libero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Danimarca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SI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Mercato libero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Finlandia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SI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Mercato libero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Austria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SI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Nessun price cap ex-tasse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Francia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Ristorno fiscale ~0.15-0.18 EUR/L (set-dic 2022)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Ungheria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HU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Price cap rigido nov 2021 - lug 2022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Spagna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Sussidio diretto 0.20 EUR/L apr-dic 2022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Polonia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Riduzione IVA 2022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7070"/>
          <w:sz w:val="22"/>
          <w:szCs w:val="22"/>
        </w:rPr>
        <w:t xml:space="preserve">Output chiave di 3_01_data.py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data/3_dataset.csv — crack spread IT nominale e reale (HICP) | settimanale dal 2019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data/pompa_XX.csv (7 file) — prezzi pompa ex-tasse paesi controllo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data/3_hicp.csv — indice HICP mensile per deflazione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plots/3_01a-d.png — grafici diagnostici: Brent, pompa IT, crack spread, confronto EU</w:t>
      </w:r>
    </w:p>
    <w:p>
      <w:r>
        <w:br w:type="page"/>
      </w:r>
    </w:p>
    <w:p>
      <w:pPr>
        <w:pBdr>
          <w:bottom w:val="single" w:color="2E75B6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Step 2 — Famiglie A e B: test livello e salto (3_02_tests.py)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 ogni combinazione di 3 eventi (Ucraina feb 2022, Iran-Israele giu 2025, Hormuz feb 2026) e 2 carburanti (benzina, diesel) si eseguono 2 test statistici: HAC_t e Mann-Whitney. Totale: 12 test per famiglia, 24 complessivi.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Famiglia A — Analisi strutturale (complementare)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Famiglia B — H0(i): salto pre→post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H0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mu_post = mu_2019  (livello assoluto reale)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E[M_post] − E[M_pre] = 0  (salto locale reale)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Split pre/post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 = 2019 baseline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= da tau_price a fine evento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 = da pre_start a tau_price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= da tau_price a post_end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Metrica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Margine reale HICP-deflato (col_real)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Margine reale HICP-deflato (col_real)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Test 1: HAC_t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OLS + Newey-West SE (Andrews 1991 BW)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 = (mu_hat − mu_2019) / SE_HAC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one-sided upper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OLS dummy Post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 = beta_post / SE_HAC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one-sided upper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Test 2: Mann-Whitney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P(M_post &gt; M_2019_matched) &gt; 0.5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one-sided, bootstrap p-value</w:t>
            </w:r>
          </w:p>
        </w:tc>
        <w:tc>
          <w:tcPr>
            <w:tcW w:type="dxa" w:w="3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P(M_post &gt; M_pre) &gt; 0.5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one-sided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Bandwidth Andrews (1991) per HAC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 larghezza di banda di Newey-West è stimata con il criterio automatico di Andrews (1991) basato sul coefficiente AR(1) de-trended: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BW = ceil[ 1.1447 * ( 4*rho^2 / (1-rho)^4 * n )^(1/3) ]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Questo evita la scelta arbitraria del numero di lag e adatta la correzione SE alla struttura di autocorrelazione specifica di ogni serie.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Campione effettivo n_eff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 quantificare la perdita di informazione dovuta all’autocorrelazione si calcola: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n_eff = n * (1 - rho) / (1 + rho)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dove rho è il coefficiente AR(1) stimato sui residui de-trended. I test con n_eff &lt; 5 sono flaggati CAUTELA nel report: il test HAC corregge la SE ma non aumenta la potenza statistica. I rigetti vanno letti come “evidenza consistente”, non come N prove indipendenti.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Split esogeno tau_price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Il punto di taglio pre/post è il MAP del change point MCMC stimato sulle serie wholesale (Benzina, Diesel) in 3_05_changepoint.py — non la data del comunicato geopolitico. Questo rende il test non-circolare: tau_price è determinato dai costi d’input dei distributori, indipendentemente dal margine testato. I mercati tipicamente anticipano lo shock di 30–70 giorni; usare la data dell’evento politico contaminerebbe la finestra “pre” con la reazione anticipatoria.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7070"/>
          <w:sz w:val="22"/>
          <w:szCs w:val="22"/>
        </w:rPr>
        <w:t xml:space="preserve">Output chiave di 3_02_tests.py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data/3_AB.csv — 24 test con p-value grezzo, delta, n_eff, rho, BW Andrews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data/3_neff_report.csv — diagnostica n_eff e fattore di inflazione potenza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data/3_annual_margins.csv — margini medi annuali per confronto storico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plots/3_02a-d.png — crack spread, delta, margini annuali, diagnostica n_eff</w:t>
      </w:r>
    </w:p>
    <w:p>
      <w:r>
        <w:br w:type="page"/>
      </w:r>
    </w:p>
    <w:p>
      <w:pPr>
        <w:pBdr>
          <w:bottom w:val="single" w:color="2E75B6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Step 3 — Famiglia C: DiD specificità italiana (3_03_did.py)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Il Difference-in-Differences testa se la variazione del margine italiano superi quella dei peer EU dopo lo shock, al netto della dinamica comune dei prezzi. Usa 7 paesi di controllo non-interventisti, per un totale di 42 test DiD (7 paesi × 3 eventi × 2 carburanti).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Modello OLS panel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M_it = alpha + beta*IT_i + gamma*Post_t + delta*(IT x Post)_it + epsilon_it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delta_hat = (M_IT_post - M_IT_pre) - (M_CT_post - M_CT_pre)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Variabili: IT_i = 1 per l’Italia, Post_t = 1 per le settimane post tau_price. SE robuste HC3 (eteroschedasticita’-consistente). H0(iii): delta ≤ 0 — test one-sided upper: rifiuto se delta &gt; 0 e p &lt; 0.05.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Perché HC3 e non Newey-West (HAC)?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Il panel è stacked in formato interleaved: (t₁-IT, t₁-CT, t₂-IT, t₂-CT, …). Il lag-1 residuo stimato da HAC è cross-sezionale, non temporale — gonfia artificialmente le SE. HC3 è robusto all’eteroschedasticita’ senza ipotesi sull’ordinamento temporale del residuo, ed è il SE corretto per questo design.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Test PTA — Parallel Trends Assumption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Prerequisito per l’identificazione causale del DiD: i trend pre-shock di IT e paese di controllo devono essere paralleli. Si testa con l’interazione tendenza temporale × indicatore paese, sulle ultime 8 settimane pre-shock: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M_it = a + b*IT_i + c*t + d*(IT x t) + epsilon  [finestra pre-shock 8 sett.]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 p(d) &lt; 0.05 la PTA è violata: il delta DiD potrebbe essere confuso da trend pre-esistenti. Il test viene marcato PTA✗ e il risultato ha interpretazione descrittiva, non causale.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Stima windfall profits (solo vs Germania)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Windfall = delta_DiD x Volume_IT x N_settimane_post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Volumi proxy da MISE 2022 (benzina 33.65 ML/sett., diesel 43.27 ML/sett.), corretti per trend consumi -1.5%/anno. Sensitività: scenario base ±30%. La Germania è usata come controllo principale (mercato più liquido e comparabile per struttura distributiva).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7070"/>
          <w:sz w:val="22"/>
          <w:szCs w:val="22"/>
        </w:rPr>
        <w:t xml:space="preserve">Output chiave di 3_03_did.py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data/3_C.csv — 42 test DiD con delta, SE HC3, CI 95%, PTA p-value, 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data/3_windfall.csv — stime windfall (3 scenari × 3 eventi × 2 carburanti)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plots/3_03a_did.png — forest plot DiD con CI 95% e marcatori PTA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plots/3_03b_windfall.png — bar chart windfall con sensitività</w:t>
      </w:r>
    </w:p>
    <w:p>
      <w:r>
        <w:br w:type="page"/>
      </w:r>
    </w:p>
    <w:p>
      <w:pPr>
        <w:pBdr>
          <w:bottom w:val="single" w:color="2E75B6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Step 4 — Correzione BH e sommario finale (3_04_bh.py)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 24 + 42 = 66 test totali (12 Famiglia A + 12 Famiglia B + 42 Famiglia C), il controllo della molteplicità è indispensabile per evitare l’inflazione del tipo I. Si usa la procedura di Benjamini-Hochberg (1995), applicata separatamente per famiglia perché ogni famiglia risponde a una domanda economica distinta.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Procedura BH step-up (monotonicity enforced)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Dati m p-value ordinati p₍₁₎ ≤ p₍₂₎ ≤ … ≤ p₍ₘ₎: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p_adj_(k) = min over j &gt;= k of [ p_(j) * m / j ]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 rifiuta H0 per ogni test con p_adj ≤ 0.05. Il monotonicity enforcement garantisce coerenza logica dei rigetti.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00"/>
        <w:gridCol w:w="1400"/>
        <w:gridCol w:w="1426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4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Famiglia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4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H0 testata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4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test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B4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FDR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Livello reale post-shock vs baseline 2019 (descrittivo)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Salto pre→post shock = 0 (H0 causale dichiarata)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Specificità IT vs 7 EU peer (delta_DiD=0)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42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Totale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H0 macro: rifiutata se ≥1 famiglia BH rifiuta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66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Perché BH separata per famiglia?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Benjamini et al. (2006) raccomandano la BH per cluster di test correlati. Famiglie A e B testano dimensioni diverse dello stesso fenomeno su IT; la Famiglia C testa una domanda causalmente distinta (specificità nazionale). Una BH globale su 66 test mescolerà domande incomparabili, perdendo potenza senza guadagno interpretativo.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Heatmap sommario (output)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3_04_bh.py produce una heatmap con una cella per ogni combinazione (evento, carburante, test), colorata in verde (H0 non rifiutata) o rosso (H0 rifiutata), con marcatore PTA✗ per i DiD con trend non paralleli.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4580A" w:sz="18"/>
              <w:bottom w:val="none" w:color="FFFFFF" w:sz="0"/>
              <w:right w:val="none" w:color="FFFFFF" w:sz="0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D4037"/>
                <w:sz w:val="17"/>
                <w:szCs w:val="17"/>
              </w:rPr>
              <w:t xml:space="preserve">NOTA ROBUSTEZZA: Con autocorrelazione alta (rho ~ 0.7-0.9) si ottiene spesso n_eff &lt; 10. Il test HAC corregge la SE ma non aumenta la potenza nominale. I rigetti BH vanno letti come "evidenza consistente" non come N prove indipendenti.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7070"/>
          <w:sz w:val="22"/>
          <w:szCs w:val="22"/>
        </w:rPr>
        <w:t xml:space="preserve">Output chiave di 3_04_bh.py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data/3_bh.csv — tutti i 66 test con p_BH_adj e BH_reject per famiglia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data/3_table_results.csv — tabella riassuntiva paper (eventi × carburanti)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plots/3_04_summary.png — heatmap risultati BH per famiglia</w:t>
      </w:r>
    </w:p>
    <w:p>
      <w:r>
        <w:br w:type="page"/>
      </w:r>
    </w:p>
    <w:p>
      <w:pPr>
        <w:pBdr>
          <w:bottom w:val="single" w:color="2E75B6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Step 5 — MCMC Change Point Detection (3_05_changepoint.py)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 script individua in modo data-driven il momento tau_price in cui le serie dei prezzi wholesale (Benzina, Diesel) e del grezzo (Brent) hanno subito una rottura strutturale. Il MAP di tau_price è poi usato come split pre/post nei test delle Famiglie A, B, C, rendendolo esogeno al margine distributivo.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Modello Bayesiano piecewise-linear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 ciascuna serie su log-prezzi: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y_t ~ StudentT( nu, mu_t, sigma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mu_t = b0 + b1*t              se t &lt; tau  (regime 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mu_t = b0 + b1*t + b2*(t - tau)  se t &gt;= tau  (regime 2)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 likelihood Student-T (invece di Normale) rende il modello robusto a outlier di prezzo tipici delle crisi energetiche. b2 cattura la variazione del trend dopo tau. La continuità in tau è imposta per costruzione: b0_regime2 = b0 + tau*(b1 − b2).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Prior del modello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Motivazione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tau (change point)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Beta(2,2) su [t_start, t_end]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 priori vago, concentrato al centro; evita change point agli estremi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nu (gradi libertà Student-T)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Gamma(2, 0.1)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Media ~ 20; permette code spesse se i dati lo richiedono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b_i (pendenze/intercette)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Normal(0, 3σ_y)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Debolmente informativi, scala adattata alla variabilità della serie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sigma (scala)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HalfNormal(σ_y)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Non negativo; scala adattata ai dati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Sampling: NUTS con fallback Metropolis-Hastings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Inferenza con PyMC, sampler NUTS (Hoffman &amp; Gelman 2014): 4 catene × 2000 campioni (1000-6000 tune a seconda della convergenza). NUTS adatta automaticamente la massa del momentum e la lunghezza delle traiettorie. In caso di divergenze o Rhat &gt; 1.05 si aumenta il tune budget e target_accept.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Diagnostiche OLS post-stima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 ciascun segmento (pre e post tau_price) si calcola una regressione OLS lineare con le seguenti diagnostiche: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Diagnostica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B2C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Soglia / Flag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Breusch-Pagan (BP)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Eteroschedasticita’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 &lt; 0.05 → SE OLS non affidabili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Shapiro-Wilk (SW)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Normalità residui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 &lt; 0.05 → deviazione da normalità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Durbin-Watson (DW)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Autocorrelazione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DW &lt; 1.5 o DW &gt; 2.5 → autocorrelazione residua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AIC StudentT vs SkewNorm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Selezione modello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ΔAIC &gt; 2 → preferire SkewNormal</w:t>
            </w:r>
          </w:p>
        </w:tc>
      </w:tr>
    </w:tbl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60" w:before="0"/>
      </w:pPr>
      <w:r>
        <w:rPr>
          <w:sz w:val="4"/>
          <w:szCs w:val="4"/>
        </w:rPr>
        <w:t xml:space="preserve"> 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7070"/>
          <w:sz w:val="22"/>
          <w:szCs w:val="22"/>
        </w:rPr>
        <w:t xml:space="preserve">Output chiave di 3_05_changepoint.py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data/3_cp.csv — tau_price MAP e CI 95% per ogni evento e serie analizzata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data/3_cp_diagnostics.csv — diagnostiche BP/SW/DW/AIC per ogni segmento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plots/3_05_{evento}_{serie}.png — posteriore di tau + traiettoria con regimi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plots/3_05_summary.png — riepilogo tau_price MAP+CI per tutti i casi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16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60" w:before="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Speculazione sui carburanti in Italia — Pipeline Statistica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2026-04-28T08:47:41.512Z</dcterms:created>
  <dcterms:modified xsi:type="dcterms:W3CDTF">2026-04-28T08:47:41.513Z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