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Speculazione sui carburanti in Italia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Pipeline statistica v3  —  Tre crisi energetiche 2021–2026</w:t>
      </w:r>
    </w:p>
    <w:p>
      <w:pPr>
        <w:pBdr>
          <w:bottom w:val="single" w:color="2E75B6" w:sz="6" w:space="8"/>
        </w:pBdr>
        <w:spacing w:after="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Metodologia e architettura dei test per la revisione accademica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Domanda di ricerca e ipotesi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lavoro testa se i distributori italiani di carburante abbiano ampliato i propri margini lordi al di sopra dei livelli pre-crisi durante le crisi energetiche recenti (Ucraina feb 2022, Iran-Israele giu 2025, Hormuz feb 2026), e se questo comportamento sia specifico all’Italia rispetto ai peer europei con mercato libero.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800"/>
        <w:gridCol w:w="2126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Ipotesi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Famiglia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H0 macro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Nessun margine anomalo in nessuna dimensione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Rifiutata se ≥1 famiglia BH rifiuta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 ∪ B ∪ C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H0(i)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Salto pre→post shock non significativo nel margine reale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HAC_t + Mann-Whitney (one-sided)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 — 12 test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H0(ii)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Specificita’ IT = 0 vs 7 EU peer (DiD δ=0)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OLS HC3 DiD (one-sided)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 — 42 test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Famiglia 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Analisi descrittiva: livello reale post-shock vs baseline 2019 (complementare, non H0 dichiarata)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HAC_t + Mann-Whitney (one-sided)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 — 12 test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Definizione del margine lordo (crack spread)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margine lordo — proxy del mark-up distributivo — è definito come: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M_it = P_pompa_it(EUR/L)  −  P_wholesale_ARA(EUR/L)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dove P_wholesale_ARA è il prezzo futures paneuropeo: Eurobob ARA (benzina) o London Gas Oil ICE (diesel). La conversione in EUR/L avviene in due passi: (i) da USD/t a EUR/t dividendo per il tasso di cambio EUR/USD spot settimanale; (ii) da EUR/t a EUR/L dividendo per i litri per tonnellata, derivati dalla densità media del carburante (benzina: 0,74 kg/L → 1 000/0,74 ≈ 1 351 L/t; diesel: 0,84 kg/L → 1 000/0,84 ≈ 1 190 L/t). Il margine nominale così ottenuto viene poi deflazionato con l'HICP Italia (base 2015 = 100, fonte API ECB SDMX, aggiornato mensilmente) per ottenere il margine reale. La deflazione rimuove l'effetto dell'inflazione generale sui prezzi al consumo, rendendo confrontabili i livelli di margine tra anni diversi: M_real_it = M_nom_it / (HICP_t / HICP_2019).</w:t>
      </w:r>
    </w:p>
    <w:p>
      <w:r>
        <w:br w:type="page"/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Architettura della pipeline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 5 script vengono eseguiti in sequenza da 3_run.py. Ogni script dipende esclusivamente dagli output del precedente. Il diagramma mostra fonti dati (sinistra), script (centro) e file prodotti (destra).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FONTI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EU Oil Bulletin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yfinance (Brent + EURUSD)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ECB SDMX (HICP)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Investing.com (futures)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3_01_data.py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Pipeline Dati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15"/>
                <w:szCs w:val="15"/>
              </w:rPr>
              <w:t xml:space="preserve">EU Bulletin | yfinance | HICP ECB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3_dataset.csv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3_hicp.csv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pompa_XX.csv (7 paesi)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3_dataset.csv (log-prezzi wholesale Benzina, Diesel, Brent)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3_05_changepoint.py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MCMC Change Point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15"/>
                <w:szCs w:val="15"/>
              </w:rPr>
              <w:t xml:space="preserve">PyMC NUTS | Student-T | tau_price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3_cp.csv (MAP + CI 95%)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3_cp_diagnostics.csv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3_dataset.csv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3_cp.csv (tau_price wholesale)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3_02_tests.py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Famiglie A + 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15"/>
                <w:szCs w:val="15"/>
              </w:rPr>
              <w:t xml:space="preserve">HAC_t | Mann-Whitney | n_eff | Andrews BW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3_AB.csv (24 test)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3_neff_report.csv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pompa_XX.csv (7 paesi EU)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3_cp.csv (tau_price)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3_03_did.py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Famiglia C — DiD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15"/>
                <w:szCs w:val="15"/>
              </w:rPr>
              <w:t xml:space="preserve">IT vs 7 EU peer | HC3 SE | PTA | windfall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3_C.csv (42 test DiD)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3_windfall.csv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3_AB.csv + 3_C.csv (66 test totali)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3_04_bh.py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Correzione BH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15"/>
                <w:szCs w:val="15"/>
              </w:rPr>
              <w:t xml:space="preserve">FDR 5% | 3 famiglie | H0 macro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3_bh.csv (66 test + BH)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3_table_results.csv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Ipotesi testate: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H0(i) — Famiglia B (12 test): salto pre→post shock non significativo nel margine reale HICP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H0(ii) — Famiglia C (42 test): IT non cresce più dei 7 peer EU post-shock (DiD)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Famiglia A (12 test): analisi descrittiva livello strutturale vs 2019 — complementare, non H0 causale</w:t>
      </w:r>
    </w:p>
    <w:p>
      <w:r>
        <w:br w:type="page"/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Step 1 — Preparazione dati (3_01_data.py)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500"/>
        <w:gridCol w:w="3426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Serie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Frequenza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tecniche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Brent (EUR/bbl)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yfinance BZ=F + EURUSD=X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Settimanale (W-MON)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USD/bbl → EUR/bbl tramite EURUSD spot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Prezzi pompa ex-tasse (IT + 7 controlli)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EU Weekly Oil Bulletin (URL automatico)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Settimanale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Sheet 'Prices wo taxes'; match colonna per prefisso ISO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Futures benzina (Eurobob ARA)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Investing.com — download manuale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Settimanale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USD/t → EUR/L: USD/t ÷ EUR_USD ÷ 1 351 (densità benzina 0,74 kg/L → 1 000/0,74 L/t)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Futures diesel (London Gas Oil)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Investing.com — download manuale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Settimanale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USD/t → EUR/L: USD/t ÷ EUR_USD ÷ 1 190 (densità gasoil 0,84 kg/L → 1 000/0,84 L/t)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HICP Italia (2015=100)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API ECB SDMX (fallback: tabella annuale)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Mensile → settimanale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Forward-fill mensile; usato per deflazionare margine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Selezione paesi controllo (per DiD — Famiglia C)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Inclusi solo i mercati senza interventi significativi sul prezzo ex-tasse: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900"/>
        <w:gridCol w:w="5726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Incluso?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Germania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Nessun price cap ex-tasse; Tankrabatt giu-ago 2022 è sussidio fiscale inc. tasse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Svezia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Nessun intervento nel periodo analizzato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Paesi Bassi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Mercato libero; alta liquidità wholesale Rotterdam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Belgio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Max-price solo su retail inc. tasse; ex-tasse libero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Danimarca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Mercato libero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Finlandia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Mercato libero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Austria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Nessun price cap ex-tasse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Francia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Ristorno fiscale ~0.15-0.18 EUR/L (set-dic 2022)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Ungheria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HU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Price cap rigido nov 2021 - lug 2022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Spagna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Sussidio diretto 0.20 EUR/L apr-dic 2022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Polonia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Riduzione IVA 2022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Output chiave di 3_01_data.py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data/3_dataset.csv — crack spread IT nominale e reale (HICP) | settimanale dal 2019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data/pompa_XX.csv (7 file) — prezzi pompa ex-tasse paesi controllo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data/3_hicp.csv — indice HICP mensile per deflazione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plots/3_01a-d.png — grafici diagnostici: Brent, pompa IT, crack spread, confronto EU</w:t>
      </w:r>
    </w:p>
    <w:p>
      <w:r>
        <w:br w:type="page"/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Step 2 — Famiglie A e B: test livello e salto (3_02_tests.py)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 ogni combinazione di 3 eventi (Ucraina feb 2022, Iran-Israele giu 2025, Hormuz feb 2026) e 2 carburanti (benzina, diesel) si eseguono 2 test statistici: HAC_t e Mann-Whitney. Totale: 12 test per famiglia, 24 complessivi.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Famiglia A — Analisi strutturale (complementare)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Famiglia B — H0(i): salto pre→post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H0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mu_post = mu_2019  (livello assoluto reale)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E[M_post] − E[M_pre] = 0  (salto locale reale)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Split pre/post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 = 2019 baseline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= da tau_price a fine evento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 = da pre_start a tau_price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= da tau_price a post_end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Metrica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Margine reale HICP-deflato (col_real)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Margine reale HICP-deflato (col_real)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 1: HAC_t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OLS + Newey-West SE (Andrews 1991 BW)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 = (mu_hat − mu_2019) / SE_HAC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one-sided upper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OLS dummy Post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 = beta_post / SE_HAC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one-sided upper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 2: Mann-Whitney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P(M_post &gt; M_2019_matched) &gt; 0.5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one-sided, bootstrap p-value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P(M_post &gt; M_pre) &gt; 0.5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one-sided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Bandwidth Andrews (1991) per HAC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larghezza di banda di Newey-West è stimata con il criterio automatico di Andrews (1991) basato sul coefficiente AR(1) de-trended: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BW = ceil[ 1.1447 * ( 4*rho^2 / (1-rho)^4 * n )^(1/3) ]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Questo evita la scelta arbitraria del numero di lag e adatta la correzione SE alla struttura di autocorrelazione specifica di ogni serie.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Campione effettivo n_eff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 quantificare la perdita di informazione dovuta all’autocorrelazione si calcola: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n_eff = n * (1 - rho) / (1 + rho)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dove rho è il coefficiente AR(1) stimato sui residui de-trended. I test con n_eff &lt; 5 sono flaggati CAUTELA nel report: il test HAC corregge la SE ma non aumenta la potenza statistica. I rigetti vanno letti come “evidenza consistente”, non come N prove indipendenti.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Split esogeno tau_price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punto di taglio pre/post è il MAP del change point MCMC stimato sulle serie wholesale (Benzina, Diesel) in 3_05_changepoint.py — non la data del comunicato geopolitico. Questo rende il test non-circolare: tau_price è determinato dai costi d’input dei distributori, indipendentemente dal margine testato. I mercati tipicamente anticipano lo shock di 30–70 giorni; usare la data dell’evento politico contaminerebbe la finestra “pre” con la reazione anticipatoria.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Output chiave di 3_02_tests.py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data/3_AB.csv — 24 test con p-value grezzo, delta, n_eff, rho, BW Andrews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data/3_neff_report.csv — diagnostica n_eff e fattore di inflazione potenza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data/3_annual_margins.csv — margini medi annuali per confronto storico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plots/3_02a-d.png — crack spread, delta, margini annuali, diagnostica n_eff</w:t>
      </w:r>
    </w:p>
    <w:p>
      <w:r>
        <w:br w:type="page"/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Step 3 — Famiglia C: DiD specificità italiana (3_03_did.py)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Difference-in-Differences testa se la variazione del margine italiano superi quella dei peer EU dopo lo shock, al netto della dinamica comune dei prezzi. Usa 7 paesi di controllo non-interventisti, per un totale di 42 test DiD (7 paesi × 3 eventi × 2 carburanti).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Modello OLS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M_it = alpha + beta*IT_i + gamma*Post_t + delta*(IT x Post)_it + epsilon_it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delta_hat = (M_IT_post - M_IT_pre) - (M_CT_post - M_CT_pre)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Variabili: IT_i = 1 per l’Italia, Post_t = 1 per le settimane post tau_price. SE robuste HC3 (eteroschedasticita’-consistente). H0(ii): delta ≤ 0 — test one-sided upper: rifiuto se delta &gt; 0 e p &lt; 0.05.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Perché HC3 e non Newey-West (HAC)?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panel è stacked in formato interleaved: (t₁-IT, t₁-CT, t₂-IT, t₂-CT, …). Il lag-1 residuo stimato da HAC è cross-sezionale, non temporale — gonfia artificialmente le SE. HC3 è robusto all’eteroschedasticita’ senza ipotesi sull’ordinamento temporale del residuo, ed è il SE corretto per questo design.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Test PTA — Parallel Trends Assumption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Prerequisito per l’identificazione causale del DiD: i trend pre-shock di IT e paese di controllo devono essere paralleli. Si testa con l’interazione tendenza temporale × indicatore paese, sulle ultime 8 settimane pre-shock: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M_it = a + b*IT_i + c*t + d*(IT x t) + epsilon  [finestra pre-shock 8 sett.]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p(d) &lt; 0.05 la PTA è violata: il delta DiD potrebbe essere confuso da trend pre-esistenti. Il test viene marcato PTA✗ e il risultato ha interpretazione descrittiva, non causale.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Stima windfall profits (solo vs Germania)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Windfall = delta_DiD x Volume_IT x N_settimane_post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Volumi proxy da MISE 2022 (benzina 33.65 ML/sett., diesel 43.27 ML/sett.), corretti per trend consumi -1.5%/anno. Sensitività: scenario base ±30%. La Germania è usata come controllo principale (mercato più liquido e comparabile per struttura distributiva).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Output chiave di 3_03_did.py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data/3_C.csv — 42 test DiD con delta, SE HC3, CI 95%, PTA p-value,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data/3_windfall.csv — stime windfall (3 scenari × 3 eventi × 2 carburanti)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plots/3_03a_did.png — forest plot DiD con CI 95% e marcatori PTA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plots/3_03b_windfall.png — bar chart windfall con sensitività</w:t>
      </w:r>
    </w:p>
    <w:p>
      <w:r>
        <w:br w:type="page"/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Step 4 — Correzione BH e sommario finale (3_04_bh.py)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 24 + 42 = 66 test totali (12 Famiglia A + 12 Famiglia B + 42 Famiglia C), il controllo della molteplicità è indispensabile per evitare l’inflazione del tipo I. Si usa la procedura di Benjamini-Hochberg (1995), applicata separatamente per famiglia perché ogni famiglia risponde a una domanda economica distinta.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Procedura BH step-up (monotonicity enforced)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Dati m p-value ordinati p₍₁₎ ≤ p₍₂₎ ≤ … ≤ p₍ₘ₎: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p_adj_(k) = min over j &gt;= k of [ p_(j) * m / j ]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rifiuta H0 per ogni test con p_adj ≤ 0.05. Il monotonicity enforcement garantisce coerenza logica dei rigetti.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1400"/>
        <w:gridCol w:w="14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Famiglia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H0 testata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test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FDR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Livello reale post-shock vs baseline 2019 (descrittivo)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Salto pre→post shock = 0 (H0 causale dichiarata)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Specificità IT vs 7 EU peer (delta_DiD=0)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42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Totale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H0 macro: rifiutata se ≥1 famiglia BH rifiuta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66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Perché BH separata per famiglia?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Benjamini et al. (2006) raccomandano la BH per cluster di test correlati. Famiglie A e B testano dimensioni diverse dello stesso fenomeno su IT; la Famiglia C testa una domanda causalmente distinta (specificità nazionale). Una BH globale su 66 test mescolerà domande incomparabili, perdendo potenza senza guadagno interpretativo.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Heatmap sommario (output)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3_04_bh.py produce una heatmap con una cella per ogni combinazione (evento, carburante, test), colorata in verde (H0 non rifiutata) o rosso (H0 rifiutata), con marcatore PTA✗ per i DiD con trend non paralleli.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4580A" w:sz="18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4037"/>
                <w:sz w:val="17"/>
                <w:szCs w:val="17"/>
              </w:rPr>
              <w:t xml:space="preserve">NOTA ROBUSTEZZA: Con autocorrelazione alta (rho ~ 0.7-0.9) si ottiene spesso n_eff &lt; 10. Il test HAC corregge la SE ma non aumenta la potenza nominale. I rigetti BH vanno letti come "evidenza consistente" non come N prove indipendenti.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Output chiave di 3_04_bh.py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data/3_bh.csv — tutti i 66 test con p_BH_adj e BH_reject per famiglia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data/3_table_results.csv — tabella riassuntiva paper (eventi × carburanti)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plots/3_04_summary.png — heatmap risultati BH per famiglia</w:t>
      </w:r>
    </w:p>
    <w:p>
      <w:r>
        <w:br w:type="page"/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Step 5 — MCMC Change Point Detection (3_05_changepoint.py)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 script individua in modo data-driven il momento tau_price in cui le serie dei prezzi wholesale (Benzina, Diesel) e del grezzo (Brent) hanno subito una rottura strutturale. Il MAP di tau_price è poi usato come split pre/post nei test delle Famiglie A, B, C, rendendolo esogeno al margine distributivo.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Modello Bayesiano piecewise-linear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 ciascuna serie su log-prezzi: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y_t ~ StudentT( nu, mu_t, sigma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mu_t = b0 + b1*t              se t &lt; tau  (regime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mu_t = b0 + b1*t + b2*(t - tau)  se t &gt;= tau  (regime 2)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likelihood Student-T (invece di Normale) rende il modello robusto a outlier di prezzo tipici delle crisi energetiche. b2 cattura la variazione del trend dopo tau. La continuità in tau è imposta per costruzione: b0_regime2 = b0 + tau*(b1 − b2).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Prior del modello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tau (change point)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Beta(2,2) su [t_start, t_end]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 priori vago, concentrato al centro; evita change point agli estremi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nu (gradi libertà Student-T)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Gamma(2, 0.1)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Media ~ 20; permette code spesse se i dati lo richiedono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b_i (pendenze/intercette)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Normal(0, 3σ_y)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Debolmente informativi, scala adattata alla variabilità della serie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sigma (scala)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HalfNormal(σ_y)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negativo; scala adattata ai dati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Sampling: NUTS con fallback Metropolis-Hastings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Inferenza con PyMC, sampler NUTS (Hoffman &amp; Gelman 2014): 4 catene × 2000 campioni (1000-6000 tune a seconda della convergenza). NUTS adatta automaticamente la massa del momentum e la lunghezza delle traiettorie. In caso di divergenze o Rhat &gt; 1.05 si aumenta il tune budget e target_accept.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Diagnostiche OLS post-stima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 ciascun segmento (pre e post tau_price) si calcola una regressione OLS lineare con le seguenti diagnostiche: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Diagnostica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Soglia / Flag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Breusch-Pagan (BP)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Eteroschedasticita’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 &lt; 0.05 → SE OLS non affidabili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Shapiro-Wilk (SW)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Normalità residui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 &lt; 0.05 → deviazione da normalità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Durbin-Watson (DW)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Autocorrelazione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DW &lt; 1.5 o DW &gt; 2.5 → autocorrelazione residua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AIC StudentT vs SkewNorm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Selezione modello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ΔAIC &gt; 2 → preferire SkewNormal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Output chiave di 3_05_changepoint.py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data/3_cp.csv — tau_price MAP e CI 95% per ogni evento e serie analizzata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data/3_cp_diagnostics.csv — diagnostiche BP/SW/DW/AIC per ogni segmento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plots/3_05_{evento}_{serie}.png — posteriore di tau + traiettoria con regimi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plots/3_05_summary.png — riepilogo tau_price MAP+CI per tutti i casi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6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60"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Speculazione sui carburanti in Italia — Pipeline Statistica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2026-04-28T08:47:41.512Z</dcterms:created>
  <dcterms:modified xsi:type="dcterms:W3CDTF">2026-04-28T08:47:41.513Z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