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Speculazione sui carburanti in Italia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Pipeline statistica v3  —  Tre crisi energetiche 2021–2026</w:t>
      </w:r>
    </w:p>
    <w:p>
      <w:pPr>
        <w:pBdr>
          <w:bottom w:val="single" w:color="2E75B6" w:sz="6" w:space="8"/>
        </w:pBdr>
        <w:spacing w:after="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Metodologia e architettura dei test per la revisione accademica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Domanda di ricerca e ipotesi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lavoro testa se i distributori italiani di carburante abbiano ampliato i propri margini lordi al di sopra dei livelli pre-crisi durante le crisi energetiche recenti (Ucraina feb 2022, Iran-Israele giu 2025, Hormuz feb 2026), e se questo comportamento sia specifico all’Italia rispetto ai peer europei con mercato libero.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800"/>
        <w:gridCol w:w="2126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Ipotesi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H0 macro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margine anomalo in nessuna dimensione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Rifiutata se ≥1 famiglia BH rifiuta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∪ B ∪ C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H0(i)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Salto pre→post shock non significativo nel margine reale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HAC_t + Mann-Whitney (one-sided)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 — 12 test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H0(ii)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Specificita’ IT = 0 vs 7 EU peer (DiD δ=0)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OLS HC3 DiD (one-sided)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 — 36 test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Famiglia 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Analisi descrittiva: livello reale post-shock vs baseline 2019 (complementare, non H0 dichiarata)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HAC_t + Mann-Whitney (one-sided)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— 12 test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Definizione del margine lordo (crack spread)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margine lordo — proxy del mark-up distributivo — è definito come: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M_it = P_pompa_it(EUR/L)  −  P_wholesale_ARA(EUR/L)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dove P_wholesale_ARA è il prezzo futures paneuropeo: Eurobob ARA (benzina) o London Gas Oil ICE (diesel). La conversione in EUR/L avviene in due passi: (i) da USD/t a EUR/t dividendo per il tasso di cambio EUR/USD spot settimanale; (ii) da EUR/t a EUR/L dividendo per i litri per tonnellata, derivati dalla densità media del carburante (benzina: 0,74 kg/L → 1 000/0,74 ≈ 1 351 L/t; diesel: 0,84 kg/L → 1 000/0,84 ≈ 1 190 L/t). Il margine nominale così ottenuto viene poi deflazionato con l'HICP Italia (base 2015 = 100, fonte API ECB SDMX, aggiornato mensilmente) per ottenere il margine reale. La deflazione rimuove l'effetto dell'inflazione generale sui prezzi al consumo, rendendo confrontabili i livelli di margine tra anni diversi: M_real_it = M_nom_it / (HICP_t / HICP_2019).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Architettura della pipeline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 5 script vengono eseguiti in sequenza da 3_run.py. Ogni script dipende esclusivamente dagli output del precedente. Il diagramma mostra fonti dati (sinistra), script (centro) e file prodotti (destra).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FONTI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Oil Bulletin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yfinance (Brent + EURUSD)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ECB SDMX (HICP)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Investing.com (futures)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3_01_data.py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Pipeline Dati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EU Bulletin | yfinance | HICP ECB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3_dataset.csv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3_hicp.csv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pompa_XX.csv (6 paesi)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3_dataset.csv (log-prezzi wholesale Benzina, Diesel, Brent)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3_05_changepoint.py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MCMC Change Point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PyMC NUTS | Student-T | tau_price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3_cp.csv (MAP + CI 95%)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3_cp_diagnostics.csv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3_dataset.csv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3_cp.csv (tau_price wholesale)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3_02_tests.py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Famiglie A + 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HAC_t | Mann-Whitney | n_eff | Andrews BW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3_AB.csv (24 test)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3_neff_report.csv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pompa_XX.csv (6 paesi EU)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3_cp.csv (tau_price)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3_03_did.py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Famiglia C — DiD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IT vs 6 EU peer | HC3 SE | PTA | windfall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3_C.csv (36 test DiD)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3_windfall.csv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3_AB.csv + 3_C.csv (60 test totali)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3_04_bh.py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Correzione BH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FDR 5% | 3 famiglie | H0 macro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3_bh.csv (60 test + BH)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3_table_results.csv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Ipotesi testate: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H0(i) — Famiglia B (12 test): salto pre→post shock non significativo nel margine reale HICP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H0(ii) — Famiglia C (36 test): IT non cresce più dei 6 peer EU post-shock (DiD)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Famiglia A (12 test): analisi descrittiva livello strutturale vs 2019 — complementare, non H0 causale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Step 1 — Preparazione dati (3_01_data.py)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500"/>
        <w:gridCol w:w="34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Frequenza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tecniche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Brent (EUR/bbl)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yfinance BZ=F + EURUSD=X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 (W-MON)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USD/bbl → EUR/bbl tramite EURUSD spot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Prezzi pompa ex-tasse (IT + 6 controlli)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EU Weekly Oil Bulletin (URL automatico)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Sheet 'Prices wo taxes'; match colonna per prefisso ISO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Futures benzina (Eurobob ARA)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Investing.com — download manuale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USD/t → EUR/L: USD/t ÷ EUR_USD ÷ 1 351 (densità benzina 0,74 kg/L → 1 000/0,74 L/t)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Futures diesel (London Gas Oil)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Investing.com — download manuale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USD/t → EUR/L: USD/t ÷ EUR_USD ÷ 1 190 (densità gasoil 0,84 kg/L → 1 000/0,84 L/t)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HICP Italia (2015=100)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 ECB SDMX (fallback: tabella annuale)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Mensile → 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Forward-fill mensile; usato per deflazionare margine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Selezione paesi controllo (per DiD — Famiglia C)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Inclusi solo i mercati senza interventi significativi sul prezzo ex-tasse: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900"/>
        <w:gridCol w:w="5726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Incluso?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Germania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price cap ex-tasse; Tankrabatt giu-ago 2022 è sussidio fiscale inc. tasse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Svezia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Dati diesel non affidabili nel periodo analizzato; esclusa dal campione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Paesi Bassi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Mercato libero; alta liquidità wholesale Rotterdam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Belgio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Max-price solo su retail inc. tasse; ex-tasse libero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Danimarca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Mercato libero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Finlandia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Mercato libero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Austria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price cap ex-tasse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Francia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Ristorno fiscale ~0.15-0.18 EUR/L (set-dic 2022)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Ungheria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HU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Price cap rigido nov 2021 - lug 2022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Spagna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Sussidio diretto 0.20 EUR/L apr-dic 2022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Polonia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Riduzione IVA 2022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3_01_data.py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data/3_dataset.csv — crack spread IT nominale e reale (HICP) | settimanale dal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data/pompa_XX.csv (6 file) — prezzi pompa ex-tasse paesi controllo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data/3_hicp.csv — indice HICP mensile per deflazione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plots/3_01a-d.png — grafici diagnostici: Brent, pompa IT, crack spread, confronto EU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Step 2 — Famiglie A e B: test livello e salto (3_02_tests.py)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ogni combinazione di 3 eventi (Ucraina feb 2022, Iran-Israele giu 2025, Hormuz feb 2026) e 2 carburanti (benzina, diesel) si eseguono 2 test statistici: HAC_t e Mann-Whitney. Totale: 12 test per famiglia, 24 complessivi.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 A — Analisi strutturale (complementare)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 B — H0(i): salto pre→post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H0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mu_post = mu_2019  (livello assoluto reale)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E[M_post] − E[M_pre] = 0  (salto locale reale)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Split pre/post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 = 2019 baseline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= da tau_price a fine evento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 = da pre_start a tau_price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= da tau_price a post_end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Metrica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Margine reale HICP-deflato (col_real)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Margine reale HICP-deflato (col_real)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 1: HAC_t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OLS + Newey-West SE (Andrews 1991 BW)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 = (mu_hat − mu_2019) / SE_HAC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 upper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OLS dummy Post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 = beta_post / SE_HAC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 upper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 2: Mann-Whitney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P(M_post &gt; M_2019_matched) &gt; 0.5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one-sided, bootstrap p-value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P(M_post &gt; M_pre) &gt; 0.5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Bandwidth Andrews (1991) per HAC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larghezza di banda di Newey-West è stimata con il criterio automatico di Andrews (1991) basato sul coefficiente AR(1) de-trended: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BW = ceil[ 1.1447 * ( 4*rho^2 / (1-rho)^4 * n )^(1/3) ]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Questo evita la scelta arbitraria del numero di lag e adatta la correzione SE alla struttura di autocorrelazione specifica di ogni serie.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Campione effettivo n_eff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quantificare la perdita di informazione dovuta all’autocorrelazione si calcola: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n_eff = n * (1 - rho) / (1 + rho)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dove rho è il coefficiente AR(1) stimato sui residui de-trended. I test con n_eff &lt; 5 sono flaggati CAUTELA nel report: il test HAC corregge la SE ma non aumenta la potenza statistica. I rigetti vanno letti come “evidenza consistente”, non come N prove indipendenti.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Split esogeno tau_price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punto di taglio pre/post è il MAP del change point MCMC stimato sulle serie wholesale (Benzina, Diesel) in 3_05_changepoint.py — non la data del comunicato geopolitico. Questo rende il test non-circolare: tau_price è determinato dai costi d’input dei distributori, indipendentemente dal margine testato. I mercati tipicamente anticipano lo shock di 30–70 giorni; usare la data dell’evento politico contaminerebbe la finestra “pre” con la reazione anticipatoria.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3_02_tests.py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data/3_AB.csv — 24 test con p-value grezzo, delta, n_eff, rho, BW Andrews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data/3_neff_report.csv — diagnostica n_eff e fattore di inflazione potenza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data/3_annual_margins.csv — margini medi annuali per confronto storico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plots/3_02a-d.png — crack spread, delta, margini annuali, diagnostica n_eff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Step 3 — Famiglia C: DiD specificità italiana (3_03_did.py)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Difference-in-Differences testa se la variazione del margine italiano superi quella dei peer EU dopo lo shock, al netto della dinamica comune dei prezzi. Usa 6 paesi di controllo non-interventisti, per un totale di 36 test DiD (6 paesi × 3 eventi × 2 carburanti).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Modello OLS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M_it = alpha + beta*IT_i + gamma*Post_t + delta*(IT x Post)_it + epsilon_it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delta_hat = (M_IT_post - M_IT_pre) - (M_CT_post - M_CT_pre)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Variabili: IT_i = 1 per l’Italia, Post_t = 1 per le settimane post tau_price. SE robuste HC3 (eteroschedasticita’-consistente). H0(ii): delta ≤ 0 — test one-sided upper: rifiuto se delta &gt; 0 e p &lt; 0.05.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Perché HC3 e non Newey-West (HAC)?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panel è stacked in formato interleaved: (t₁-IT, t₁-CT, t₂-IT, t₂-CT, …). Il lag-1 residuo stimato da HAC è cross-sezionale, non temporale — gonfia artificialmente le SE. HC3 è robusto all’eteroschedasticita’ senza ipotesi sull’ordinamento temporale del residuo, ed è il SE corretto per questo design.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Test PTA — Parallel Trends Assumption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Prerequisito per l’identificazione causale del DiD: i trend pre-shock di IT e paese di controllo devono essere paralleli. Si testa con l’interazione tendenza temporale × indicatore paese, sulle ultime 8 settimane pre-shock: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M_it = a + b*IT_i + c*t + d*(IT x t) + epsilon  [finestra pre-shock 8 sett.]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p(d) &lt; 0.05 la PTA è violata: il delta DiD potrebbe essere confuso da trend pre-esistenti. Il test viene marcato PTA✗ e il risultato ha interpretazione descrittiva, non causale.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Stima windfall profits (solo vs Germania)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Windfall = delta_DiD x Volume_IT x N_settimane_post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Volumi proxy da MISE 2022 (benzina 33.65 ML/sett., diesel 43.27 ML/sett.), corretti per trend consumi -1.5%/anno. Sensitività: scenario base ±30%. La Germania è usata come controllo principale (mercato più liquido e comparabile per struttura distributiva).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3_03_did.py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data/3_C.csv — 36 test DiD con delta, SE HC3, CI 95%, PTA p-value,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data/3_windfall.csv — stime windfall (3 scenari × 3 eventi × 2 carburanti)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plots/3_03a_did.png — forest plot DiD con CI 95% e marcatori PTA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plots/3_03b_windfall.png — bar chart windfall con sensitività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Step 4 — Correzione BH e sommario finale (3_04_bh.py)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 24 + 36 = 60 test totali (12 Famiglia A + 12 Famiglia B + 36 Famiglia C), il controllo della molteplicità è indispensabile per evitare l’inflazione del tipo I. Si usa la procedura di Benjamini-Hochberg (1995), applicata separatamente per famiglia perché ogni famiglia risponde a una domanda economica distinta.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Procedura BH step-up (monotonicity enforced)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Dati m p-value ordinati p₍₁₎ ≤ p₍₂₎ ≤ … ≤ p₍ₘ₎: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p_adj_(k) = min over j &gt;= k of [ p_(j) * m / j ]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rifiuta H0 per ogni test con p_adj ≤ 0.05. Il monotonicity enforcement garantisce coerenza logica dei rigetti.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1400"/>
        <w:gridCol w:w="14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H0 testata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test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FDR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Livello reale post-shock vs baseline 2019 (descrittivo)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Salto pre→post shock = 0 (H0 causale dichiarata)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Specificità IT vs 6 EU peer (delta_DiD=0)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Totale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H0 macro: rifiutata se ≥1 famiglia BH rifiuta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Perché BH separata per famiglia?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Benjamini et al. (2006) raccomandano la BH per cluster di test correlati. Famiglie A e B testano dimensioni diverse dello stesso fenomeno su IT; la Famiglia C testa una domanda causalmente distinta (specificità nazionale). Una BH globale su 60 test mescolerà domande incomparabili, perdendo potenza senza guadagno interpretativo.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Heatmap sommario (output)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3_04_bh.py produce una heatmap con una cella per ogni combinazione (evento, carburante, test), colorata in verde (H0 non rifiutata) o rosso (H0 rifiutata), con marcatore PTA✗ per i DiD con trend non paralleli.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4580A" w:sz="18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4037"/>
                <w:sz w:val="17"/>
                <w:szCs w:val="17"/>
              </w:rPr>
              <w:t xml:space="preserve">NOTA ROBUSTEZZA: Con autocorrelazione alta (rho ~ 0.7-0.9) si ottiene spesso n_eff &lt; 10. Il test HAC corregge la SE ma non aumenta la potenza nominale. I rigetti BH vanno letti come "evidenza consistente" non come N prove indipendenti.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3_04_bh.py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data/3_bh.csv — tutti i 60 test con p_BH_adj e BH_reject per famiglia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data/3_table_results.csv — tabella riassuntiva paper (eventi × carburanti)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plots/3_04_summary.png — heatmap risultati BH per famiglia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Step 5 — MCMC Change Point Detection (3_05_changepoint.py)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 script individua in modo data-driven il momento tau_price in cui le serie dei prezzi wholesale (Benzina, Diesel) e del grezzo (Brent) hanno subito una rottura strutturale. Il MAP di tau_price è poi usato come split pre/post nei test delle Famiglie A, B, C, rendendolo esogeno al margine distributivo.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Modello Bayesiano piecewise-linear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ciascuna serie su log-prezzi: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y_t ~ StudentT( nu, mu_t, sigma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mu_t = b0 + b1*t              se t &lt; tau  (regime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mu_t = b0 + b1*t + b2*(t - tau)  se t &gt;= tau  (regime 2)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likelihood Student-T (invece di Normale) rende il modello robusto a outlier di prezzo tipici delle crisi energetiche. b2 cattura la variazione del trend dopo tau. La continuità in tau è imposta per costruzione: b0_regime2 = b0 + tau*(b1 − b2).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Prior del modello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tau (change point)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Beta(2,2) su [t_start, t_end]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priori vago, concentrato al centro; evita change point agli estremi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nu (gradi libertà Student-T)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Gamma(2, 0.1)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Media ~ 20; permette code spesse se i dati lo richiedono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b_i (pendenze/intercette)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Normal(0, 3σ_y)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Debolmente informativi, scala adattata alla variabilità della serie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sigma (scala)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HalfNormal(σ_y)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negativo; scala adattata ai dati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Sampling: NUTS con fallback Metropolis-Hastings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Inferenza con PyMC, sampler NUTS (Hoffman &amp; Gelman 2014): 4 catene × 2000 campioni (1000-6000 tune a seconda della convergenza). NUTS adatta automaticamente la massa del momentum e la lunghezza delle traiettorie. In caso di divergenze o Rhat &gt; 1.05 si aumenta il tune budget e target_accept.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Diagnostiche OLS post-stima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ciascun segmento (pre e post tau_price) si calcola una regressione OLS lineare con le seguenti diagnostiche: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Diagnostica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Soglia / Flag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Breusch-Pagan (BP)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Eteroschedasticita’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 &lt; 0.05 → SE OLS non affidabili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Shapiro-Wilk (SW)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Normalità residui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 &lt; 0.05 → deviazione da normalità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Durbin-Watson (DW)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Autocorrelazione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DW &lt; 1.5 o DW &gt; 2.5 → autocorrelazione residua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AIC StudentT vs SkewNorm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Selezione modello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ΔAIC &gt; 2 → preferire SkewNormal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3_05_changepoint.py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data/3_cp.csv — tau_price MAP e CI 95% per ogni evento e serie analizzata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data/3_cp_diagnostics.csv — diagnostiche BP/SW/DW/AIC per ogni segmento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plots/3_05_{evento}_{serie}.png — posteriore di tau + traiettoria con regimi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plots/3_05_summary.png — riepilogo tau_price MAP+CI per tutti i casi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6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Speculazione sui carburanti in Italia — Pipeline Statistica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2026-04-28T08:47:41.512Z</dcterms:created>
  <dcterms:modified xsi:type="dcterms:W3CDTF">2026-04-28T08:47:41.513Z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