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FF83" w14:textId="3014F221" w:rsidR="008C18F6" w:rsidRPr="00771D3C" w:rsidRDefault="00E91054" w:rsidP="001E1AE4">
      <w:pPr>
        <w:jc w:val="center"/>
        <w:rPr>
          <w:b/>
          <w:bCs/>
          <w:sz w:val="28"/>
          <w:szCs w:val="28"/>
        </w:rPr>
      </w:pPr>
      <w:r w:rsidRPr="00771D3C">
        <w:rPr>
          <w:b/>
          <w:bCs/>
          <w:sz w:val="28"/>
          <w:szCs w:val="28"/>
        </w:rPr>
        <w:t>IAN – perfil de Defasagem e sua evolução</w:t>
      </w:r>
    </w:p>
    <w:p w14:paraId="297AED9A" w14:textId="2AB78056" w:rsidR="008C18F6" w:rsidRDefault="008C18F6">
      <w:r w:rsidRPr="008C18F6">
        <w:drawing>
          <wp:inline distT="0" distB="0" distL="0" distR="0" wp14:anchorId="6486E565" wp14:editId="0F6C8954">
            <wp:extent cx="6867955" cy="2219325"/>
            <wp:effectExtent l="0" t="0" r="9525" b="0"/>
            <wp:docPr id="851907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07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1861" cy="22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8F6">
        <w:drawing>
          <wp:inline distT="0" distB="0" distL="0" distR="0" wp14:anchorId="3512084E" wp14:editId="61826B97">
            <wp:extent cx="6840220" cy="769620"/>
            <wp:effectExtent l="0" t="0" r="0" b="0"/>
            <wp:docPr id="1908927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2DC4" w14:textId="2A62ECC4" w:rsidR="00964A15" w:rsidRDefault="008C18F6">
      <w:r>
        <w:t>Através dos gráficos e estatística gerados é possível perceber que a</w:t>
      </w:r>
      <w:r w:rsidR="00E91054">
        <w:t xml:space="preserve"> defasagem vem diminuindo a cada ano, casos de alunos com algum atraso caíram de</w:t>
      </w:r>
      <w:r>
        <w:t xml:space="preserve"> por volta de </w:t>
      </w:r>
      <w:r w:rsidR="00E91054">
        <w:t xml:space="preserve">70% em 2022 para </w:t>
      </w:r>
      <w:r>
        <w:t xml:space="preserve">por volta de </w:t>
      </w:r>
      <w:r w:rsidR="00E91054">
        <w:t>46% em 2024,</w:t>
      </w:r>
      <w:r w:rsidR="00171F52">
        <w:t xml:space="preserve"> </w:t>
      </w:r>
      <w:r>
        <w:t>e a defasagem mais grave praticamente desapareceu, para analise foi feito um cruzamento do IAN com a defasagem sendo a fase atual – fase ideal, mostrando a composição por ano, a defasagem concentrada por fase e a trajetória dos alunos entre os anos.</w:t>
      </w:r>
    </w:p>
    <w:p w14:paraId="510D3F1C" w14:textId="15B90770" w:rsidR="005722E1" w:rsidRDefault="008C18F6">
      <w:r>
        <w:t xml:space="preserve">A defasagem caiu de forma consistente sendo 69,9% (2022) -&gt; 54,4% (2023) -&gt; 46,2% (2024). </w:t>
      </w:r>
      <w:r w:rsidR="005722E1">
        <w:t>Tendo alunos em dia ou adiantados aumentando 30,1% (2022) -&gt; 45,6% (2023) -&gt; 53,8% (2024), e a defasagem grave diminuindo bastante de 3,3% para 0,3% em 2024.</w:t>
      </w:r>
      <w:r w:rsidR="005722E1">
        <w:br/>
        <w:t>A fase 1 tem o maio nível de defasagem sendo 71</w:t>
      </w:r>
      <w:r w:rsidR="00B40AA6">
        <w:t>% e</w:t>
      </w:r>
      <w:r w:rsidR="005722E1">
        <w:t xml:space="preserve"> as fases 2 e 3 melhoram muito indo de 72% para 37% e 55% para 26% consecutivamente.</w:t>
      </w:r>
    </w:p>
    <w:p w14:paraId="5B9BF975" w14:textId="24CB0884" w:rsidR="005722E1" w:rsidRPr="00771D3C" w:rsidRDefault="004828F8" w:rsidP="00E5700E">
      <w:pPr>
        <w:jc w:val="center"/>
        <w:rPr>
          <w:b/>
          <w:bCs/>
          <w:sz w:val="28"/>
          <w:szCs w:val="28"/>
        </w:rPr>
      </w:pPr>
      <w:r w:rsidRPr="00771D3C">
        <w:rPr>
          <w:b/>
          <w:bCs/>
          <w:sz w:val="28"/>
          <w:szCs w:val="28"/>
        </w:rPr>
        <w:t xml:space="preserve">IDA </w:t>
      </w:r>
      <w:r w:rsidRPr="00771D3C">
        <w:rPr>
          <w:b/>
          <w:bCs/>
          <w:sz w:val="28"/>
          <w:szCs w:val="28"/>
        </w:rPr>
        <w:t>–</w:t>
      </w:r>
      <w:r w:rsidRPr="00771D3C">
        <w:rPr>
          <w:b/>
          <w:bCs/>
          <w:sz w:val="28"/>
          <w:szCs w:val="28"/>
        </w:rPr>
        <w:t xml:space="preserve"> Desempenho acadêmico e sua evolução</w:t>
      </w:r>
    </w:p>
    <w:p w14:paraId="21EBC6EA" w14:textId="56F1A927" w:rsidR="004828F8" w:rsidRDefault="004828F8">
      <w:r w:rsidRPr="004828F8">
        <w:drawing>
          <wp:inline distT="0" distB="0" distL="0" distR="0" wp14:anchorId="225CAAD2" wp14:editId="4726240F">
            <wp:extent cx="6840220" cy="1732280"/>
            <wp:effectExtent l="0" t="0" r="0" b="1270"/>
            <wp:docPr id="646052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52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D3C" w:rsidRPr="004828F8">
        <w:drawing>
          <wp:inline distT="0" distB="0" distL="0" distR="0" wp14:anchorId="74330617" wp14:editId="3F2D671D">
            <wp:extent cx="4276725" cy="1980565"/>
            <wp:effectExtent l="0" t="0" r="9525" b="635"/>
            <wp:docPr id="1771609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09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703" cy="20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690D" w14:textId="7AD28E57" w:rsidR="00E5700E" w:rsidRDefault="00B40AA6">
      <w:pPr>
        <w:rPr>
          <w:b/>
          <w:bCs/>
          <w:sz w:val="28"/>
          <w:szCs w:val="28"/>
        </w:rPr>
      </w:pPr>
      <w:r>
        <w:lastRenderedPageBreak/>
        <w:t xml:space="preserve">Através dos gráficos e estatística gerados </w:t>
      </w:r>
      <w:r>
        <w:t>é possível ver que a</w:t>
      </w:r>
      <w:r w:rsidR="00B3433D">
        <w:t xml:space="preserve"> média geral tem uma pequena melhora de 6,1% para 6,5% indicando mais uma eternidade ao longo dos anos, principalmente pelo fato do ao de 2023 ter chegado a 6,7% mas por não ter mantido o crescimento no ano seguinte de 2024, e ter tido uma pequena queda na média no ano seguinte, indica que o desempenho acadêmico é mais estagnado.</w:t>
      </w:r>
      <w:r w:rsidR="00E5700E">
        <w:br/>
      </w:r>
      <w:r w:rsidR="00B3433D">
        <w:t>O IDA passa por uma pequena alta de 2022 para 2023 e depois uma pequena baixa de 2023 para 2024, e esse efeito pode ser devido a entrada de novos alunos.</w:t>
      </w:r>
      <w:r w:rsidR="00B3433D">
        <w:br/>
        <w:t>Verificando os mesmos alunos presentes nos 3 anos temos uma queda na media sendo: 6,68% (2022) -&gt; 6,79</w:t>
      </w:r>
      <w:r w:rsidR="00771D3C">
        <w:t xml:space="preserve">% (2023) -&gt; 6,29 (2024) demonstrando uma queda minimamente maior que uma geral com todos os alunos. </w:t>
      </w:r>
      <w:r w:rsidR="00771D3C">
        <w:br/>
        <w:t>A trajetória individual consiste em de 2023 -&gt; 2024 46% dos alunos perderam mais de 0,5 pontos, 30% ganharam e 24% ficaram estáveis. Já de 2022 -&gt; 2023 38</w:t>
      </w:r>
      <w:r w:rsidR="00771D3C">
        <w:t>% dos alunos perderam</w:t>
      </w:r>
      <w:r w:rsidR="00771D3C">
        <w:t xml:space="preserve"> </w:t>
      </w:r>
      <w:r w:rsidR="00771D3C">
        <w:t xml:space="preserve">pontos, </w:t>
      </w:r>
      <w:r w:rsidR="00771D3C">
        <w:t>36</w:t>
      </w:r>
      <w:r w:rsidR="00771D3C">
        <w:t xml:space="preserve">% ganharam e </w:t>
      </w:r>
      <w:r w:rsidR="00771D3C">
        <w:t>26</w:t>
      </w:r>
      <w:r w:rsidR="00771D3C">
        <w:t>% ficaram estáveis.</w:t>
      </w:r>
    </w:p>
    <w:p w14:paraId="59EC458E" w14:textId="106F6372" w:rsidR="00113034" w:rsidRDefault="00113034" w:rsidP="00113034">
      <w:pPr>
        <w:jc w:val="center"/>
        <w:rPr>
          <w:b/>
          <w:bCs/>
          <w:sz w:val="28"/>
          <w:szCs w:val="28"/>
        </w:rPr>
      </w:pPr>
      <w:r w:rsidRPr="00113034">
        <w:rPr>
          <w:b/>
          <w:bCs/>
          <w:sz w:val="28"/>
          <w:szCs w:val="28"/>
        </w:rPr>
        <w:t>IEG x IDA e IPV – Engajamento, desempenho e ponto de virada</w:t>
      </w:r>
    </w:p>
    <w:p w14:paraId="64106437" w14:textId="6FA65467" w:rsidR="00771D3C" w:rsidRDefault="00B40AA6">
      <w:r w:rsidRPr="00B40AA6">
        <w:drawing>
          <wp:inline distT="0" distB="0" distL="0" distR="0" wp14:anchorId="294447F4" wp14:editId="16AFE9C7">
            <wp:extent cx="5974044" cy="3105150"/>
            <wp:effectExtent l="0" t="0" r="8255" b="0"/>
            <wp:docPr id="1975569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9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706" cy="311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40AA6">
        <w:drawing>
          <wp:inline distT="0" distB="0" distL="0" distR="0" wp14:anchorId="784E9BFB" wp14:editId="2835C4A4">
            <wp:extent cx="3656897" cy="1390650"/>
            <wp:effectExtent l="0" t="0" r="1270" b="0"/>
            <wp:docPr id="176568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522" cy="13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800" w:rsidRPr="00281800">
        <w:rPr>
          <w:noProof/>
        </w:rPr>
        <w:t xml:space="preserve"> </w:t>
      </w:r>
      <w:r w:rsidR="00281800" w:rsidRPr="00281800">
        <w:drawing>
          <wp:inline distT="0" distB="0" distL="0" distR="0" wp14:anchorId="34CF55DC" wp14:editId="663D6314">
            <wp:extent cx="2571750" cy="1370188"/>
            <wp:effectExtent l="0" t="0" r="0" b="1905"/>
            <wp:docPr id="386592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2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518" cy="13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B93E" w14:textId="77777777" w:rsidR="00281800" w:rsidRDefault="00281800">
      <w:r w:rsidRPr="00281800">
        <w:drawing>
          <wp:inline distT="0" distB="0" distL="0" distR="0" wp14:anchorId="3DA4F602" wp14:editId="69CCA949">
            <wp:extent cx="6817360" cy="1818640"/>
            <wp:effectExtent l="0" t="0" r="2540" b="0"/>
            <wp:docPr id="1079531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1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6148" cy="183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75B28B" w14:textId="27B35700" w:rsidR="00B40AA6" w:rsidRDefault="00B40AA6">
      <w:r>
        <w:lastRenderedPageBreak/>
        <w:t>Através dos gráficos e estatística gerados</w:t>
      </w:r>
      <w:r>
        <w:t xml:space="preserve"> a forte relação existente do engajamento com o desempenho (sendo p = 0,45 - 0,50) e o ponto de virada (sendo p = 0,49 – 0,56) mesmo com fase idade e ano, e a relação também aparece nas mudanças ao longo do tempo</w:t>
      </w:r>
      <w:r w:rsidR="00281800">
        <w:t>. Para analise foi feito a correlação entre IEG e IDA/IPV por ano, comparado com o engajamento, ajustando a regressão com fase, idade e ano.</w:t>
      </w:r>
      <w:r w:rsidR="00281800">
        <w:br/>
        <w:t>engajamento e desempenho andam juntos, de forma estável nos 3 anos, tendo correlação IEG x IDA entre 0,49 e 0,56.</w:t>
      </w:r>
      <w:r w:rsidR="00281800">
        <w:br/>
        <w:t xml:space="preserve">Quem aumentou o engajamento tendeu a aumentar o desempenho no ano seguinte. </w:t>
      </w:r>
      <w:r w:rsidR="00281800">
        <w:br/>
        <w:t>Teve uma diferença entre o quartil de menor e maior engajamento, o IDA difere em 1,9 a 2,7 pontos e o IPV em 1,2 a 1,6 pontos a mais.</w:t>
      </w:r>
    </w:p>
    <w:p w14:paraId="4E414584" w14:textId="3D1DCA59" w:rsidR="00281800" w:rsidRDefault="00E0607D" w:rsidP="00E5700E">
      <w:pPr>
        <w:jc w:val="center"/>
        <w:rPr>
          <w:b/>
          <w:bCs/>
          <w:sz w:val="28"/>
          <w:szCs w:val="28"/>
        </w:rPr>
      </w:pPr>
      <w:r w:rsidRPr="00E0607D">
        <w:rPr>
          <w:b/>
          <w:bCs/>
          <w:sz w:val="28"/>
          <w:szCs w:val="28"/>
        </w:rPr>
        <w:t xml:space="preserve">IAA x IDA e IEG </w:t>
      </w:r>
      <w:r w:rsidRPr="00E0607D">
        <w:rPr>
          <w:b/>
          <w:bCs/>
          <w:sz w:val="28"/>
          <w:szCs w:val="28"/>
        </w:rPr>
        <w:t>–</w:t>
      </w:r>
      <w:r w:rsidRPr="00E0607D">
        <w:rPr>
          <w:b/>
          <w:bCs/>
          <w:sz w:val="28"/>
          <w:szCs w:val="28"/>
        </w:rPr>
        <w:t xml:space="preserve"> Coerência na autopercepção</w:t>
      </w:r>
    </w:p>
    <w:p w14:paraId="056508DF" w14:textId="4D512EF4" w:rsidR="00E0607D" w:rsidRDefault="00E0607D">
      <w:pPr>
        <w:rPr>
          <w:b/>
          <w:bCs/>
          <w:sz w:val="28"/>
          <w:szCs w:val="28"/>
        </w:rPr>
      </w:pPr>
      <w:r w:rsidRPr="00E0607D">
        <w:rPr>
          <w:b/>
          <w:bCs/>
          <w:sz w:val="28"/>
          <w:szCs w:val="28"/>
        </w:rPr>
        <w:drawing>
          <wp:inline distT="0" distB="0" distL="0" distR="0" wp14:anchorId="6B808823" wp14:editId="7089BC5B">
            <wp:extent cx="6877050" cy="2235200"/>
            <wp:effectExtent l="0" t="0" r="0" b="0"/>
            <wp:docPr id="1109853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3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6030" cy="22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E0607D">
        <w:rPr>
          <w:b/>
          <w:bCs/>
          <w:sz w:val="28"/>
          <w:szCs w:val="28"/>
        </w:rPr>
        <w:drawing>
          <wp:inline distT="0" distB="0" distL="0" distR="0" wp14:anchorId="6637D832" wp14:editId="520B11A2">
            <wp:extent cx="6867525" cy="2266315"/>
            <wp:effectExtent l="0" t="0" r="9525" b="635"/>
            <wp:docPr id="1411699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9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2445" cy="23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E0607D">
        <w:rPr>
          <w:b/>
          <w:bCs/>
          <w:sz w:val="28"/>
          <w:szCs w:val="28"/>
        </w:rPr>
        <w:drawing>
          <wp:inline distT="0" distB="0" distL="0" distR="0" wp14:anchorId="3E832C65" wp14:editId="66217BC6">
            <wp:extent cx="6858000" cy="1980565"/>
            <wp:effectExtent l="0" t="0" r="0" b="635"/>
            <wp:docPr id="1592357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57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B649" w14:textId="1C3E062F" w:rsidR="00A45019" w:rsidRDefault="00E0607D">
      <w:r>
        <w:t>Através dos gráficos e estatística gerados</w:t>
      </w:r>
      <w:r>
        <w:t xml:space="preserve"> é possível perceber que a autopercepção é pouco coerente com a realidade, sendo que cerca de 7 em 10 alunos superestimam o IDA em mais de 1 </w:t>
      </w:r>
      <w:proofErr w:type="spellStart"/>
      <w:r w:rsidR="001E1AE4">
        <w:t>ponto</w:t>
      </w:r>
      <w:proofErr w:type="spellEnd"/>
      <w:r>
        <w:t>, e a relação entre IAA e IDA é de apenas 0,11 – 0,14.</w:t>
      </w:r>
      <w:r>
        <w:br/>
        <w:t xml:space="preserve">Para analise foi definido o Gap de autopercepção </w:t>
      </w:r>
      <w:r w:rsidR="00953D98">
        <w:t xml:space="preserve">colocando +1 ponto = superestimam, -1 = subestima e </w:t>
      </w:r>
      <w:r w:rsidR="00953D98">
        <w:lastRenderedPageBreak/>
        <w:t>entre -1 e +1 = coerente. Foi feito a medição da correlação, a distribuição do Gap e como ele varia.</w:t>
      </w:r>
      <w:r w:rsidR="00953D98">
        <w:br/>
        <w:t>A maioria dos alunos de avaliam superior ao seu desempenho real,</w:t>
      </w:r>
      <w:r w:rsidR="007E234E">
        <w:t xml:space="preserve"> tendo um IAA médio de 8,6 e 8,7 nos três anos contra um IDA de 6,1 a 6,7. Com isso 68 a 74% superestimam o IDA em mais de um ponto, somente 24% a 28% sendo coerentes e 3% a 4% se subestimam.</w:t>
      </w:r>
      <w:r w:rsidR="007E234E">
        <w:br/>
        <w:t>Tem um crescimento de Gap com a idade, tendo uma maior diferença entre alunos com mais dificuldades sendo: +3,45 pontos entre alunos com defasagem grave, +2,35 na moderada e +1,96 nos alunos em dia.</w:t>
      </w:r>
    </w:p>
    <w:p w14:paraId="1832ADD8" w14:textId="5C036619" w:rsidR="007E234E" w:rsidRDefault="007E234E" w:rsidP="00E5700E">
      <w:pPr>
        <w:jc w:val="center"/>
        <w:rPr>
          <w:b/>
          <w:bCs/>
          <w:sz w:val="28"/>
          <w:szCs w:val="28"/>
        </w:rPr>
      </w:pPr>
      <w:r w:rsidRPr="007E234E">
        <w:rPr>
          <w:b/>
          <w:bCs/>
          <w:sz w:val="28"/>
          <w:szCs w:val="28"/>
        </w:rPr>
        <w:t xml:space="preserve">IPS </w:t>
      </w:r>
      <w:r w:rsidRPr="007E234E">
        <w:rPr>
          <w:b/>
          <w:bCs/>
          <w:sz w:val="28"/>
          <w:szCs w:val="28"/>
        </w:rPr>
        <w:t>–</w:t>
      </w:r>
      <w:r w:rsidRPr="007E234E">
        <w:rPr>
          <w:b/>
          <w:bCs/>
          <w:sz w:val="28"/>
          <w:szCs w:val="28"/>
        </w:rPr>
        <w:t xml:space="preserve"> Padrões psicossociais que antecedem quedas</w:t>
      </w:r>
    </w:p>
    <w:p w14:paraId="343BBBC4" w14:textId="40D76FA5" w:rsidR="00E5700E" w:rsidRDefault="007E234E">
      <w:r w:rsidRPr="007E234E">
        <w:rPr>
          <w:b/>
          <w:bCs/>
          <w:sz w:val="28"/>
          <w:szCs w:val="28"/>
        </w:rPr>
        <w:drawing>
          <wp:inline distT="0" distB="0" distL="0" distR="0" wp14:anchorId="14036844" wp14:editId="6F83EE95">
            <wp:extent cx="6840220" cy="1927860"/>
            <wp:effectExtent l="0" t="0" r="0" b="0"/>
            <wp:docPr id="1224594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94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1705" cy="19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7E234E">
        <w:rPr>
          <w:b/>
          <w:bCs/>
          <w:sz w:val="28"/>
          <w:szCs w:val="28"/>
        </w:rPr>
        <w:drawing>
          <wp:inline distT="0" distB="0" distL="0" distR="0" wp14:anchorId="57A96152" wp14:editId="7784904F">
            <wp:extent cx="6829425" cy="2016760"/>
            <wp:effectExtent l="0" t="0" r="9525" b="2540"/>
            <wp:docPr id="234326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6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1441" cy="20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19">
        <w:rPr>
          <w:b/>
          <w:bCs/>
          <w:sz w:val="28"/>
          <w:szCs w:val="28"/>
        </w:rPr>
        <w:br/>
      </w:r>
      <w:r w:rsidR="00A45019" w:rsidRPr="00A45019">
        <w:rPr>
          <w:b/>
          <w:bCs/>
          <w:sz w:val="28"/>
          <w:szCs w:val="28"/>
        </w:rPr>
        <w:drawing>
          <wp:inline distT="0" distB="0" distL="0" distR="0" wp14:anchorId="69B902C9" wp14:editId="6089F85C">
            <wp:extent cx="6877050" cy="3324225"/>
            <wp:effectExtent l="0" t="0" r="0" b="9525"/>
            <wp:docPr id="2084947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7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85936" cy="33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19">
        <w:rPr>
          <w:b/>
          <w:bCs/>
          <w:sz w:val="28"/>
          <w:szCs w:val="28"/>
        </w:rPr>
        <w:br/>
      </w:r>
      <w:r w:rsidR="00A45019">
        <w:t>Através dos gráficos e estatística gerados</w:t>
      </w:r>
      <w:r w:rsidR="00A45019">
        <w:t xml:space="preserve"> não é possível notar de uma forma clara que o IPS consiga anteceder quedas de desempenho ou de engajamento. Podendo ver que tendo IPS de baixo a alto o padrão praticamente se mantém, não sendo possível notar uma diferença devida ao IPS podendo </w:t>
      </w:r>
      <w:r w:rsidR="00A45019" w:rsidRPr="00E13336">
        <w:lastRenderedPageBreak/>
        <w:t>ocorrer por outros fatores. Para analise</w:t>
      </w:r>
      <w:r w:rsidR="00E13336" w:rsidRPr="00E13336">
        <w:t xml:space="preserve"> </w:t>
      </w:r>
      <w:r w:rsidR="00E13336" w:rsidRPr="00E13336">
        <w:t>os alunos observados em dois anos consecutivos, comparamos o IPS do ano t com o que acontece em t+1. Queda = perda de mais de 0,5 ponto de IDA (ou IEG).</w:t>
      </w:r>
      <w:r w:rsidR="00E13336" w:rsidRPr="00E13336">
        <w:t xml:space="preserve"> Foi testado os alunos</w:t>
      </w:r>
      <w:r w:rsidR="00E13336" w:rsidRPr="00E13336">
        <w:t xml:space="preserve"> com três anos, se a mudança do IPS em 22→23 antecede mudanças em 23→24.</w:t>
      </w:r>
      <w:r w:rsidR="00E13336" w:rsidRPr="00E13336">
        <w:br/>
        <w:t>Existem quedas frequentes de 35% (2022 -&gt; 2023) e 44% (2023 -&gt; 2024) os alunos que perderam mais de 0,5 pontos de Ida e no IEG temos 21% e 46% respectivamente.</w:t>
      </w:r>
      <w:r w:rsidR="00E13336" w:rsidRPr="00E13336">
        <w:br/>
        <w:t>O IPS não sinaliza de forma clara pois o</w:t>
      </w:r>
      <w:r w:rsidR="00E13336" w:rsidRPr="00E13336">
        <w:t xml:space="preserve"> IPS padronizado de quem caiu é praticamente igual ao de quem não caiu (IDA: −0,02 </w:t>
      </w:r>
      <w:r w:rsidR="00E13336">
        <w:t>contra</w:t>
      </w:r>
      <w:r w:rsidR="00E13336" w:rsidRPr="00E13336">
        <w:t xml:space="preserve"> +0,01, p = 0,75; IEG: p = 0,37). As taxas de queda por faixa de IPS são quase idênticas (ex.: 23→24, IDA: 45% no IPS baixo </w:t>
      </w:r>
      <w:r w:rsidR="00E13336">
        <w:t>contra</w:t>
      </w:r>
      <w:r w:rsidR="00E13336" w:rsidRPr="00E13336">
        <w:t xml:space="preserve"> 44% no alto)</w:t>
      </w:r>
      <w:r w:rsidR="00E13336">
        <w:t xml:space="preserve">, teve um sinal no nível inicial onde +1 desvio-padrão de IPS reduz por volta de 15% a chance de queda do </w:t>
      </w:r>
      <w:r w:rsidR="001E1AE4">
        <w:t>IDA,</w:t>
      </w:r>
      <w:r w:rsidR="00E13336">
        <w:t xml:space="preserve"> mas no IEG não possui efeito.</w:t>
      </w:r>
      <w:r w:rsidR="00E13336">
        <w:br/>
        <w:t>a mudança de IPS em um ano, não consegue anteceder as mudanças nos anos seguintes.</w:t>
      </w:r>
    </w:p>
    <w:p w14:paraId="5FF1CE5F" w14:textId="77777777" w:rsidR="00113034" w:rsidRDefault="00E5700E" w:rsidP="00E5700E">
      <w:pPr>
        <w:jc w:val="center"/>
        <w:rPr>
          <w:b/>
          <w:bCs/>
          <w:sz w:val="28"/>
          <w:szCs w:val="28"/>
        </w:rPr>
      </w:pPr>
      <w:r w:rsidRPr="00E5700E">
        <w:rPr>
          <w:b/>
          <w:bCs/>
          <w:sz w:val="28"/>
          <w:szCs w:val="28"/>
        </w:rPr>
        <w:t xml:space="preserve">IPN x IAN </w:t>
      </w:r>
      <w:r w:rsidRPr="00E5700E">
        <w:rPr>
          <w:b/>
          <w:bCs/>
          <w:sz w:val="28"/>
          <w:szCs w:val="28"/>
        </w:rPr>
        <w:t>—</w:t>
      </w:r>
      <w:r w:rsidRPr="00E5700E">
        <w:rPr>
          <w:b/>
          <w:bCs/>
          <w:sz w:val="28"/>
          <w:szCs w:val="28"/>
        </w:rPr>
        <w:t xml:space="preserve"> A relação entre as avaliações psicopedagógicas e a defasagem</w:t>
      </w:r>
    </w:p>
    <w:p w14:paraId="3C6288F4" w14:textId="025BF120" w:rsidR="00D62507" w:rsidRDefault="00113034" w:rsidP="00D62507">
      <w:r w:rsidRPr="00113034">
        <w:rPr>
          <w:b/>
          <w:bCs/>
          <w:sz w:val="28"/>
          <w:szCs w:val="28"/>
        </w:rPr>
        <w:drawing>
          <wp:inline distT="0" distB="0" distL="0" distR="0" wp14:anchorId="2B85A7B6" wp14:editId="663E8A03">
            <wp:extent cx="6840220" cy="2109470"/>
            <wp:effectExtent l="0" t="0" r="0" b="5080"/>
            <wp:docPr id="1727633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3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336" w:rsidRPr="00E5700E">
        <w:rPr>
          <w:b/>
          <w:bCs/>
          <w:sz w:val="28"/>
          <w:szCs w:val="28"/>
        </w:rPr>
        <w:br/>
      </w:r>
      <w:r w:rsidRPr="00113034">
        <w:rPr>
          <w:b/>
          <w:bCs/>
          <w:sz w:val="28"/>
          <w:szCs w:val="28"/>
        </w:rPr>
        <w:drawing>
          <wp:inline distT="0" distB="0" distL="0" distR="0" wp14:anchorId="548D0C40" wp14:editId="51382B21">
            <wp:extent cx="2932314" cy="2399030"/>
            <wp:effectExtent l="0" t="0" r="1905" b="1270"/>
            <wp:docPr id="1123710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0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682" cy="24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034">
        <w:rPr>
          <w:noProof/>
        </w:rPr>
        <w:t xml:space="preserve"> </w:t>
      </w:r>
      <w:r w:rsidRPr="00113034">
        <w:rPr>
          <w:b/>
          <w:bCs/>
          <w:sz w:val="28"/>
          <w:szCs w:val="28"/>
        </w:rPr>
        <w:drawing>
          <wp:inline distT="0" distB="0" distL="0" distR="0" wp14:anchorId="79E75EEA" wp14:editId="613BAC75">
            <wp:extent cx="3838575" cy="2390775"/>
            <wp:effectExtent l="0" t="0" r="9525" b="9525"/>
            <wp:docPr id="1022197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7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5494" cy="24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113034">
        <w:rPr>
          <w:noProof/>
        </w:rPr>
        <w:drawing>
          <wp:inline distT="0" distB="0" distL="0" distR="0" wp14:anchorId="7E836BD4" wp14:editId="20036A48">
            <wp:extent cx="6800850" cy="2230706"/>
            <wp:effectExtent l="0" t="0" r="0" b="0"/>
            <wp:docPr id="1878127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27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63478" cy="22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D070F5">
        <w:t>Através dos gráficos e estatística gerados</w:t>
      </w:r>
      <w:r w:rsidR="00D070F5">
        <w:t xml:space="preserve"> é possível identificar </w:t>
      </w:r>
      <w:r w:rsidR="001E1AE4">
        <w:t>uma direção</w:t>
      </w:r>
      <w:r w:rsidR="00D070F5">
        <w:t xml:space="preserve"> onde quanto maior a defasagem menor o IPP, </w:t>
      </w:r>
      <w:r w:rsidR="00F8595B">
        <w:t xml:space="preserve">aparecendo com p = 0,17 (2023) e 0,19 (2024) e o IPP mediano é maior </w:t>
      </w:r>
      <w:r w:rsidR="001E1AE4">
        <w:t>entre</w:t>
      </w:r>
      <w:r w:rsidR="00F8595B">
        <w:t xml:space="preserve"> os </w:t>
      </w:r>
      <w:r w:rsidR="00F8595B">
        <w:lastRenderedPageBreak/>
        <w:t xml:space="preserve">alunos em dia (7,7 - 7,8) do que entre os com defasagem moderada (7,5). Porem 28% dos alunos com defasagem possuem um IPP alto e 28% dos alunos em dia tem IPP baixo. Ou seja, é uma relação muito fraca, pois apesar de ter uma diferença de IPP entre os níveis a diferença é baixa, e existe uma boa porcentagem de alunos fugindo do padrão. Para analise como o IPP só existir em 2023-2024, foi comparado entre o IPP entre os níveis de IAN, foi medido as contradições e teve um cruzamento de informações das recomendações da psicologia com o IAN. </w:t>
      </w:r>
      <w:r w:rsidR="00F8595B">
        <w:br/>
        <w:t xml:space="preserve">Existe uma concordância porem muito fraca, o IPP mediano </w:t>
      </w:r>
      <w:r w:rsidR="00F8595B" w:rsidRPr="00F8595B">
        <w:t>é maior entre alunos em dia (7,7</w:t>
      </w:r>
      <w:r w:rsidR="00F8595B">
        <w:t xml:space="preserve"> - </w:t>
      </w:r>
      <w:r w:rsidR="00F8595B" w:rsidRPr="00F8595B">
        <w:t xml:space="preserve">7,8) do que entre os com defasagem moderada (7,5). </w:t>
      </w:r>
      <w:r w:rsidR="00F8595B">
        <w:t>A c</w:t>
      </w:r>
      <w:r w:rsidR="00F8595B" w:rsidRPr="00F8595B">
        <w:t>orrelação IPP × defasagem: ρ = +0,17 (2023) e +0,19 (2024)</w:t>
      </w:r>
      <w:r w:rsidR="00F8595B">
        <w:t>.</w:t>
      </w:r>
      <w:r w:rsidR="00F8595B">
        <w:br/>
        <w:t xml:space="preserve">Nos terços de IPP com IPP baixo 38% dos alunos estão em dia e com IPP alto 55% </w:t>
      </w:r>
      <w:r w:rsidR="00D62507">
        <w:t>estão em dia.</w:t>
      </w:r>
    </w:p>
    <w:p w14:paraId="7B43C7AB" w14:textId="79174876" w:rsidR="00113034" w:rsidRDefault="00D62507" w:rsidP="00D62507">
      <w:pPr>
        <w:jc w:val="center"/>
        <w:rPr>
          <w:b/>
          <w:bCs/>
          <w:sz w:val="28"/>
          <w:szCs w:val="28"/>
        </w:rPr>
      </w:pPr>
      <w:r w:rsidRPr="00D62507">
        <w:rPr>
          <w:b/>
          <w:bCs/>
          <w:sz w:val="28"/>
          <w:szCs w:val="28"/>
        </w:rPr>
        <w:t xml:space="preserve">IPV </w:t>
      </w:r>
      <w:r w:rsidRPr="00D62507">
        <w:rPr>
          <w:b/>
          <w:bCs/>
          <w:sz w:val="28"/>
          <w:szCs w:val="28"/>
        </w:rPr>
        <w:t>—</w:t>
      </w:r>
      <w:r w:rsidRPr="00D62507">
        <w:rPr>
          <w:b/>
          <w:bCs/>
          <w:sz w:val="28"/>
          <w:szCs w:val="28"/>
        </w:rPr>
        <w:t xml:space="preserve"> A influência dos comportamentos acadêmicos, emocionais e de engajamento no IPV ao longo do tempo</w:t>
      </w:r>
    </w:p>
    <w:p w14:paraId="4289A23A" w14:textId="77777777" w:rsidR="00D62507" w:rsidRDefault="00D62507" w:rsidP="00D62507">
      <w:pPr>
        <w:rPr>
          <w:b/>
          <w:bCs/>
          <w:sz w:val="28"/>
          <w:szCs w:val="28"/>
        </w:rPr>
      </w:pPr>
    </w:p>
    <w:p w14:paraId="7209650D" w14:textId="4F1484C2" w:rsidR="00D62507" w:rsidRDefault="00D62507" w:rsidP="00D62507">
      <w:pPr>
        <w:rPr>
          <w:b/>
          <w:bCs/>
          <w:sz w:val="28"/>
          <w:szCs w:val="28"/>
        </w:rPr>
      </w:pPr>
      <w:r w:rsidRPr="00D62507">
        <w:rPr>
          <w:b/>
          <w:bCs/>
          <w:sz w:val="28"/>
          <w:szCs w:val="28"/>
        </w:rPr>
        <w:drawing>
          <wp:inline distT="0" distB="0" distL="0" distR="0" wp14:anchorId="17ECDE09" wp14:editId="3FA3A8D6">
            <wp:extent cx="4334406" cy="3076575"/>
            <wp:effectExtent l="0" t="0" r="9525" b="0"/>
            <wp:docPr id="1749013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13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0598" cy="30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507">
        <w:rPr>
          <w:b/>
          <w:bCs/>
          <w:sz w:val="28"/>
          <w:szCs w:val="28"/>
        </w:rPr>
        <w:t xml:space="preserve"> </w:t>
      </w:r>
      <w:r w:rsidRPr="00D62507">
        <w:rPr>
          <w:b/>
          <w:bCs/>
          <w:sz w:val="28"/>
          <w:szCs w:val="28"/>
        </w:rPr>
        <w:drawing>
          <wp:inline distT="0" distB="0" distL="0" distR="0" wp14:anchorId="2C1C8B1D" wp14:editId="1AF8680B">
            <wp:extent cx="6962775" cy="3360515"/>
            <wp:effectExtent l="0" t="0" r="0" b="0"/>
            <wp:docPr id="1003009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9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4299" cy="337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5E19" w14:textId="28B2FB16" w:rsidR="00D62507" w:rsidRDefault="00D62507" w:rsidP="00D62507">
      <w:pPr>
        <w:rPr>
          <w:b/>
          <w:bCs/>
          <w:sz w:val="28"/>
          <w:szCs w:val="28"/>
        </w:rPr>
      </w:pPr>
      <w:r w:rsidRPr="00D62507">
        <w:rPr>
          <w:b/>
          <w:bCs/>
          <w:sz w:val="28"/>
          <w:szCs w:val="28"/>
        </w:rPr>
        <w:lastRenderedPageBreak/>
        <w:drawing>
          <wp:inline distT="0" distB="0" distL="0" distR="0" wp14:anchorId="6199CB49" wp14:editId="0B8F639B">
            <wp:extent cx="6840220" cy="3607435"/>
            <wp:effectExtent l="0" t="0" r="0" b="0"/>
            <wp:docPr id="1854021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21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D431" w14:textId="3D32D8D0" w:rsidR="005632EA" w:rsidRPr="00506921" w:rsidRDefault="005632EA" w:rsidP="00D62507">
      <w:r>
        <w:t>O ponto de virada esta principalmente associado à avaliação psicopedagógica, ao engajamento e ao desempenho. Idade, Fase e defasagem pesam pouco.</w:t>
      </w:r>
      <w:r>
        <w:br/>
        <w:t>Para analise forem feitas 2 leituras no ano de 2022, único ano com marcador binário atingiu PV por Regressão logística. IPV contínuo em 2022-2024 sem IPP e 2023-2024 com IPP, por regressão linear padronizada.</w:t>
      </w:r>
      <w:r>
        <w:br/>
        <w:t xml:space="preserve">Em 2022, </w:t>
      </w:r>
      <w:r w:rsidRPr="005632EA">
        <w:t xml:space="preserve">O marcador "Atingiu PV" equivale a um corte no IPV </w:t>
      </w:r>
      <w:r>
        <w:t xml:space="preserve">de mais ou menos </w:t>
      </w:r>
      <w:r w:rsidRPr="005632EA">
        <w:t>8,35, por isso o IPV não entra como preditor. Nos demais indicadores, IDA (OR = 4,2 por +1 DP) e IEG (OR = 2,4) foram os mais fortes, seguidos por IAA (1,6) e IPS (1,4). Idade, fase e defasagem não foram significativas</w:t>
      </w:r>
      <w:r w:rsidR="00506921">
        <w:t>.</w:t>
      </w:r>
      <w:r w:rsidR="00506921">
        <w:br/>
        <w:t xml:space="preserve">No </w:t>
      </w:r>
      <w:r w:rsidR="00506921" w:rsidRPr="00506921">
        <w:t>IPV contínuo, 2022–24 (sem IPP): +1 DP de IDA → +0,40 e de IEG → +0,35 ponto de IPV; IAA (+0,08) e IPS (+0,07) têm efeito pequeno.</w:t>
      </w:r>
      <w:r w:rsidR="00506921">
        <w:br/>
        <w:t xml:space="preserve">Nos anos </w:t>
      </w:r>
      <w:r w:rsidR="00506921" w:rsidRPr="00506921">
        <w:t>2023–24 (com IPP): o IPP passa a dominar (+0,48 por DP), à frente de IEG (+0,24) e IDA (+0,22); IPS fica em zero no modelo linear.</w:t>
      </w:r>
    </w:p>
    <w:sectPr w:rsidR="005632EA" w:rsidRPr="00506921" w:rsidSect="00771D3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54"/>
    <w:rsid w:val="00113034"/>
    <w:rsid w:val="00171F52"/>
    <w:rsid w:val="001E1AE4"/>
    <w:rsid w:val="00281800"/>
    <w:rsid w:val="00447E1E"/>
    <w:rsid w:val="004828F8"/>
    <w:rsid w:val="00506921"/>
    <w:rsid w:val="005632EA"/>
    <w:rsid w:val="005722E1"/>
    <w:rsid w:val="00771D3C"/>
    <w:rsid w:val="007E234E"/>
    <w:rsid w:val="008C18F6"/>
    <w:rsid w:val="00953D98"/>
    <w:rsid w:val="00964A15"/>
    <w:rsid w:val="00A45019"/>
    <w:rsid w:val="00B3433D"/>
    <w:rsid w:val="00B40AA6"/>
    <w:rsid w:val="00D070F5"/>
    <w:rsid w:val="00D62507"/>
    <w:rsid w:val="00DD0475"/>
    <w:rsid w:val="00E0607D"/>
    <w:rsid w:val="00E13336"/>
    <w:rsid w:val="00E5700E"/>
    <w:rsid w:val="00E91054"/>
    <w:rsid w:val="00F8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D4B50"/>
  <w15:chartTrackingRefBased/>
  <w15:docId w15:val="{54BC9CC1-6383-47C7-ACCC-5953311D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1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10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1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1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1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1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1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1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10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10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EE402-A1D9-4718-916B-0B0C011AE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1106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 Rocha Andrade</dc:creator>
  <cp:keywords/>
  <dc:description/>
  <cp:lastModifiedBy>Lucas Eduardo Rocha Andrade</cp:lastModifiedBy>
  <cp:revision>2</cp:revision>
  <cp:lastPrinted>2026-09-22T17:56:00Z</cp:lastPrinted>
  <dcterms:created xsi:type="dcterms:W3CDTF">2026-09-22T17:58:00Z</dcterms:created>
  <dcterms:modified xsi:type="dcterms:W3CDTF">2026-09-22T17:58:00Z</dcterms:modified>
</cp:coreProperties>
</file>