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25D4B"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Remote Work Health Impact Analysis</w:t>
      </w:r>
    </w:p>
    <w:p w14:paraId="498170B9">
      <w:pPr>
        <w:pStyle w:val="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Danylo Karaulanov</w:t>
      </w:r>
    </w:p>
    <w:p w14:paraId="1DD8D399">
      <w:pPr>
        <w:pStyle w:val="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2025-08</w:t>
      </w:r>
      <w:bookmarkStart w:id="8" w:name="_GoBack"/>
      <w:bookmarkEnd w:id="8"/>
    </w:p>
    <w:p w14:paraId="71FAA791">
      <w:pPr>
        <w:pStyle w:val="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Survey_Date   Age Gender Region        Industry      Job_Role Work_Arrangement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##   &lt;date&gt;      &lt;dbl&gt; &lt;chr&gt;  &lt;chr&gt;         &lt;chr&gt;         &lt;chr&gt;    &lt;chr&gt;         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## 1 2025-06-01     27 Female Asia          Professional… Data An… Onsite        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## 2 2025-06-01     37 Female Asia          Professional… Data An… Onsite        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## 3 2025-06-01     32 Female Africa        Education     Busines… Onsite        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## 4 2025-06-01     40 Female Europe        Education     Data An… Onsite        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## 5 2025-06-01     30 Male   South America Manufacturing DevOps … Hybrid        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 xml:space="preserve">## 6 2025-06-01     52 Male   Oceania       Customer Ser… Busines… Onsite        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# ℹ 7 more variables: Hours_Per_Week &lt;dbl&gt;, Mental_Health_Status &lt;chr&gt;,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#   Burnout_Level &lt;chr&gt;, Work_Life_Balance_Score &lt;dbl&gt;,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#   Physical_Health_Issues &lt;chr&gt;, Social_Isolation_Score &lt;dbl&gt;,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#   Salary_Range &lt;chr&gt;</w:t>
      </w:r>
    </w:p>
    <w:p w14:paraId="02A192A7">
      <w:pPr>
        <w:pStyle w:val="2"/>
        <w:rPr>
          <w:rFonts w:hint="default" w:ascii="Times New Roman" w:hAnsi="Times New Roman" w:cs="Times New Roman"/>
        </w:rPr>
      </w:pPr>
      <w:bookmarkStart w:id="0" w:name="introduction"/>
      <w:r>
        <w:rPr>
          <w:rFonts w:hint="default" w:ascii="Times New Roman" w:hAnsi="Times New Roman" w:cs="Times New Roman"/>
          <w:b/>
          <w:bCs/>
        </w:rPr>
        <w:t>Introduction</w:t>
      </w:r>
    </w:p>
    <w:p w14:paraId="6B63B1B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report analyzes how different work arrangements (remote, hybrid, and onsite) affect employee health and burnout based on survey data from over 3,000 participants.</w:t>
      </w:r>
    </w:p>
    <w:p w14:paraId="039A72A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analysis focuses on the following research questions:</w:t>
      </w:r>
    </w:p>
    <w:p w14:paraId="7ED5519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Does work arrangement influence burnout levels? - How do gender, age, and mental health status correlate with burnout? - What practical steps can organizations take to address identified risks?</w:t>
      </w:r>
    </w:p>
    <w:bookmarkEnd w:id="0"/>
    <w:p w14:paraId="7E6EAB70">
      <w:pPr>
        <w:pStyle w:val="2"/>
        <w:rPr>
          <w:rFonts w:hint="default" w:ascii="Times New Roman" w:hAnsi="Times New Roman" w:cs="Times New Roman"/>
        </w:rPr>
      </w:pPr>
      <w:bookmarkStart w:id="1" w:name="key-findings"/>
      <w:r>
        <w:rPr>
          <w:rFonts w:hint="default" w:ascii="Times New Roman" w:hAnsi="Times New Roman" w:cs="Times New Roman"/>
          <w:b/>
          <w:bCs/>
        </w:rPr>
        <w:t>Key Findings</w:t>
      </w:r>
    </w:p>
    <w:p w14:paraId="5048A00C">
      <w:pPr>
        <w:pStyle w:val="4"/>
        <w:rPr>
          <w:rFonts w:hint="default" w:ascii="Times New Roman" w:hAnsi="Times New Roman" w:cs="Times New Roman"/>
        </w:rPr>
      </w:pPr>
      <w:bookmarkStart w:id="2" w:name="burnout-by-gender"/>
      <w:r>
        <w:rPr>
          <w:rFonts w:hint="default" w:ascii="Times New Roman" w:hAnsi="Times New Roman" w:cs="Times New Roman"/>
          <w:b/>
          <w:bCs/>
        </w:rPr>
        <w:t>1. Burnout by Gender</w:t>
      </w:r>
    </w:p>
    <w:p w14:paraId="106CBE3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Analysis shows variation in burnout levels across genders. For example, female employees reported slightly higher ‘High Burnout’ percentages in remote and onsite settings compared to males. Charts from R analysis provide visual confirmation.</w:t>
      </w:r>
    </w:p>
    <w:p w14:paraId="32AA759C">
      <w:pPr>
        <w:pStyle w:val="49"/>
        <w:rPr>
          <w:rFonts w:hint="default" w:ascii="Times New Roman" w:hAnsi="Times New Roman" w:cs="Times New Roman"/>
        </w:rPr>
      </w:pPr>
      <w:r>
        <w:rPr>
          <w:rStyle w:val="82"/>
          <w:rFonts w:hint="default" w:ascii="Times New Roman" w:hAnsi="Times New Roman" w:cs="Times New Roman"/>
        </w:rPr>
        <w:t xml:space="preserve">burnout_by_gender </w:t>
      </w:r>
      <w:r>
        <w:rPr>
          <w:rStyle w:val="68"/>
          <w:rFonts w:hint="default" w:ascii="Times New Roman" w:hAnsi="Times New Roman" w:cs="Times New Roman"/>
        </w:rPr>
        <w:t>&lt;-</w:t>
      </w:r>
      <w:r>
        <w:rPr>
          <w:rStyle w:val="82"/>
          <w:rFonts w:hint="default" w:ascii="Times New Roman" w:hAnsi="Times New Roman" w:cs="Times New Roman"/>
        </w:rPr>
        <w:t xml:space="preserve"> data </w:t>
      </w:r>
      <w:r>
        <w:rPr>
          <w:rStyle w:val="59"/>
          <w:rFonts w:hint="default" w:ascii="Times New Roman" w:hAnsi="Times New Roman" w:cs="Times New Roman"/>
        </w:rPr>
        <w:t>%&gt;%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count</w:t>
      </w:r>
      <w:r>
        <w:rPr>
          <w:rStyle w:val="82"/>
          <w:rFonts w:hint="default" w:ascii="Times New Roman" w:hAnsi="Times New Roman" w:cs="Times New Roman"/>
        </w:rPr>
        <w:t xml:space="preserve">(Gender, Work_Arrangement, Burnout_Level) </w:t>
      </w:r>
      <w:r>
        <w:rPr>
          <w:rStyle w:val="59"/>
          <w:rFonts w:hint="default" w:ascii="Times New Roman" w:hAnsi="Times New Roman" w:cs="Times New Roman"/>
        </w:rPr>
        <w:t>%&gt;%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group_by</w:t>
      </w:r>
      <w:r>
        <w:rPr>
          <w:rStyle w:val="82"/>
          <w:rFonts w:hint="default" w:ascii="Times New Roman" w:hAnsi="Times New Roman" w:cs="Times New Roman"/>
        </w:rPr>
        <w:t xml:space="preserve">(Gender, Work_Arrangement) </w:t>
      </w:r>
      <w:r>
        <w:rPr>
          <w:rStyle w:val="59"/>
          <w:rFonts w:hint="default" w:ascii="Times New Roman" w:hAnsi="Times New Roman" w:cs="Times New Roman"/>
        </w:rPr>
        <w:t>%&gt;%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mutate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Percentage =</w:t>
      </w:r>
      <w:r>
        <w:rPr>
          <w:rStyle w:val="82"/>
          <w:rFonts w:hint="default" w:ascii="Times New Roman" w:hAnsi="Times New Roman" w:cs="Times New Roman"/>
        </w:rPr>
        <w:t xml:space="preserve"> n </w:t>
      </w:r>
      <w:r>
        <w:rPr>
          <w:rStyle w:val="59"/>
          <w:rFonts w:hint="default" w:ascii="Times New Roman" w:hAnsi="Times New Roman" w:cs="Times New Roman"/>
        </w:rPr>
        <w:t>/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sum</w:t>
      </w:r>
      <w:r>
        <w:rPr>
          <w:rStyle w:val="82"/>
          <w:rFonts w:hint="default" w:ascii="Times New Roman" w:hAnsi="Times New Roman" w:cs="Times New Roman"/>
        </w:rPr>
        <w:t xml:space="preserve">(n) </w:t>
      </w:r>
      <w:r>
        <w:rPr>
          <w:rStyle w:val="59"/>
          <w:rFonts w:hint="default" w:ascii="Times New Roman" w:hAnsi="Times New Roman" w:cs="Times New Roman"/>
        </w:rPr>
        <w:t>*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100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%&gt;%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ungroup</w:t>
      </w:r>
      <w:r>
        <w:rPr>
          <w:rStyle w:val="82"/>
          <w:rFonts w:hint="default" w:ascii="Times New Roman" w:hAnsi="Times New Roman" w:cs="Times New Roman"/>
        </w:rPr>
        <w:t>()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head</w:t>
      </w:r>
      <w:r>
        <w:rPr>
          <w:rStyle w:val="82"/>
          <w:rFonts w:hint="default" w:ascii="Times New Roman" w:hAnsi="Times New Roman" w:cs="Times New Roman"/>
        </w:rPr>
        <w:t>(burnout_by_gender)</w:t>
      </w:r>
    </w:p>
    <w:p w14:paraId="77D90D62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## # A tibble: 6 × 5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Gender Work_Arrangement Burnout_Level     n Percentage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&lt;chr&gt;  &lt;chr&gt;            &lt;chr&gt;         &lt;int&gt;      &lt;dbl&gt;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1 Female Hybrid           High            170       37.4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2 Female Hybrid           Low              79       17.4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3 Female Hybrid           Medium          205       45.2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4 Female Onsite           High            212       27.5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5 Female Onsite           Low             230       29.8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6 Female Onsite           Medium          330       42.7</w:t>
      </w:r>
    </w:p>
    <w:p w14:paraId="211F7A1C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ggplot</w:t>
      </w:r>
      <w:r>
        <w:rPr>
          <w:rStyle w:val="82"/>
          <w:rFonts w:hint="default" w:ascii="Times New Roman" w:hAnsi="Times New Roman" w:cs="Times New Roman"/>
        </w:rPr>
        <w:t xml:space="preserve">(burnout_by_gender, </w:t>
      </w:r>
      <w:r>
        <w:rPr>
          <w:rStyle w:val="69"/>
          <w:rFonts w:hint="default" w:ascii="Times New Roman" w:hAnsi="Times New Roman" w:cs="Times New Roman"/>
        </w:rPr>
        <w:t>aes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Work_Arrangement,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Percentage, </w:t>
      </w:r>
      <w:r>
        <w:rPr>
          <w:rStyle w:val="76"/>
          <w:rFonts w:hint="default" w:ascii="Times New Roman" w:hAnsi="Times New Roman" w:cs="Times New Roman"/>
        </w:rPr>
        <w:t>fill =</w:t>
      </w:r>
      <w:r>
        <w:rPr>
          <w:rStyle w:val="82"/>
          <w:rFonts w:hint="default" w:ascii="Times New Roman" w:hAnsi="Times New Roman" w:cs="Times New Roman"/>
        </w:rPr>
        <w:t xml:space="preserve"> Burnout_Level))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geom_col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position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"dodge"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facet_wrap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59"/>
          <w:rFonts w:hint="default" w:ascii="Times New Roman" w:hAnsi="Times New Roman" w:cs="Times New Roman"/>
        </w:rPr>
        <w:t>~</w:t>
      </w:r>
      <w:r>
        <w:rPr>
          <w:rStyle w:val="82"/>
          <w:rFonts w:hint="default" w:ascii="Times New Roman" w:hAnsi="Times New Roman" w:cs="Times New Roman"/>
        </w:rPr>
        <w:t xml:space="preserve">Gender)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labs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title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"Burnout Levels by Work Arrangement and Gender"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"Work Arrangement"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"Percentage (%)"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fill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"Burnout Level"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theme_minimal</w:t>
      </w:r>
      <w:r>
        <w:rPr>
          <w:rStyle w:val="82"/>
          <w:rFonts w:hint="default" w:ascii="Times New Roman" w:hAnsi="Times New Roman" w:cs="Times New Roman"/>
        </w:rPr>
        <w:t xml:space="preserve">()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scale_fill_brewer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palette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"RdYlGn"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direction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9"/>
          <w:rFonts w:hint="default" w:ascii="Times New Roman" w:hAnsi="Times New Roman" w:cs="Times New Roman"/>
        </w:rPr>
        <w:t>-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axis.text.x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element_text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angle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45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hjust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82"/>
          <w:rFonts w:hint="default" w:ascii="Times New Roman" w:hAnsi="Times New Roman" w:cs="Times New Roman"/>
        </w:rPr>
        <w:t>))</w:t>
      </w:r>
    </w:p>
    <w:p w14:paraId="5480B1DE">
      <w:pPr>
        <w:pStyle w:val="2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19625" cy="36957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28340CA">
      <w:pPr>
        <w:pStyle w:val="4"/>
        <w:rPr>
          <w:rFonts w:hint="default" w:ascii="Times New Roman" w:hAnsi="Times New Roman" w:cs="Times New Roman"/>
        </w:rPr>
      </w:pPr>
      <w:bookmarkStart w:id="3" w:name="burnout-by-work-arrangement"/>
      <w:r>
        <w:rPr>
          <w:rFonts w:hint="default" w:ascii="Times New Roman" w:hAnsi="Times New Roman" w:cs="Times New Roman"/>
          <w:b/>
          <w:bCs/>
        </w:rPr>
        <w:t>2. Burnout by Work Arrangement</w:t>
      </w:r>
    </w:p>
    <w:p w14:paraId="2D0B184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Remote workers consistently reported higher burnout than hybrid and onsite employees. Hybrid workers had the lowest proportion of high-burnout cases.</w:t>
      </w:r>
    </w:p>
    <w:p w14:paraId="6ABEDE8E">
      <w:pPr>
        <w:pStyle w:val="49"/>
        <w:rPr>
          <w:rFonts w:hint="default" w:ascii="Times New Roman" w:hAnsi="Times New Roman" w:cs="Times New Roman"/>
        </w:rPr>
      </w:pPr>
      <w:r>
        <w:rPr>
          <w:rStyle w:val="82"/>
          <w:rFonts w:hint="default" w:ascii="Times New Roman" w:hAnsi="Times New Roman" w:cs="Times New Roman"/>
        </w:rPr>
        <w:t xml:space="preserve">burnout_by_arrangement </w:t>
      </w:r>
      <w:r>
        <w:rPr>
          <w:rStyle w:val="68"/>
          <w:rFonts w:hint="default" w:ascii="Times New Roman" w:hAnsi="Times New Roman" w:cs="Times New Roman"/>
        </w:rPr>
        <w:t>&lt;-</w:t>
      </w:r>
      <w:r>
        <w:rPr>
          <w:rStyle w:val="82"/>
          <w:rFonts w:hint="default" w:ascii="Times New Roman" w:hAnsi="Times New Roman" w:cs="Times New Roman"/>
        </w:rPr>
        <w:t xml:space="preserve"> data </w:t>
      </w:r>
      <w:r>
        <w:rPr>
          <w:rStyle w:val="59"/>
          <w:rFonts w:hint="default" w:ascii="Times New Roman" w:hAnsi="Times New Roman" w:cs="Times New Roman"/>
        </w:rPr>
        <w:t>%&gt;%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group_by</w:t>
      </w:r>
      <w:r>
        <w:rPr>
          <w:rStyle w:val="82"/>
          <w:rFonts w:hint="default" w:ascii="Times New Roman" w:hAnsi="Times New Roman" w:cs="Times New Roman"/>
        </w:rPr>
        <w:t xml:space="preserve">(Work_Arrangement, Burnout_Level) </w:t>
      </w:r>
      <w:r>
        <w:rPr>
          <w:rStyle w:val="59"/>
          <w:rFonts w:hint="default" w:ascii="Times New Roman" w:hAnsi="Times New Roman" w:cs="Times New Roman"/>
        </w:rPr>
        <w:t>%&gt;%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summarise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Count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n</w:t>
      </w:r>
      <w:r>
        <w:rPr>
          <w:rStyle w:val="82"/>
          <w:rFonts w:hint="default" w:ascii="Times New Roman" w:hAnsi="Times New Roman" w:cs="Times New Roman"/>
        </w:rPr>
        <w:t xml:space="preserve">()) </w:t>
      </w:r>
      <w:r>
        <w:rPr>
          <w:rStyle w:val="59"/>
          <w:rFonts w:hint="default" w:ascii="Times New Roman" w:hAnsi="Times New Roman" w:cs="Times New Roman"/>
        </w:rPr>
        <w:t>%&gt;%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mutate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Percentage =</w:t>
      </w:r>
      <w:r>
        <w:rPr>
          <w:rStyle w:val="82"/>
          <w:rFonts w:hint="default" w:ascii="Times New Roman" w:hAnsi="Times New Roman" w:cs="Times New Roman"/>
        </w:rPr>
        <w:t xml:space="preserve"> (Count </w:t>
      </w:r>
      <w:r>
        <w:rPr>
          <w:rStyle w:val="59"/>
          <w:rFonts w:hint="default" w:ascii="Times New Roman" w:hAnsi="Times New Roman" w:cs="Times New Roman"/>
        </w:rPr>
        <w:t>/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sum</w:t>
      </w:r>
      <w:r>
        <w:rPr>
          <w:rStyle w:val="82"/>
          <w:rFonts w:hint="default" w:ascii="Times New Roman" w:hAnsi="Times New Roman" w:cs="Times New Roman"/>
        </w:rPr>
        <w:t xml:space="preserve">(Count)) </w:t>
      </w:r>
      <w:r>
        <w:rPr>
          <w:rStyle w:val="59"/>
          <w:rFonts w:hint="default" w:ascii="Times New Roman" w:hAnsi="Times New Roman" w:cs="Times New Roman"/>
        </w:rPr>
        <w:t>*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100</w:t>
      </w:r>
      <w:r>
        <w:rPr>
          <w:rStyle w:val="82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head</w:t>
      </w:r>
      <w:r>
        <w:rPr>
          <w:rStyle w:val="82"/>
          <w:rFonts w:hint="default" w:ascii="Times New Roman" w:hAnsi="Times New Roman" w:cs="Times New Roman"/>
        </w:rPr>
        <w:t>(burnout_by_arrangement)</w:t>
      </w:r>
    </w:p>
    <w:p w14:paraId="455A10FE">
      <w:pPr>
        <w:pStyle w:val="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# Groups:   Work_Arrangement [2]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Work_Arrangement Burnout_Level Count Percentage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&lt;chr&gt;            &lt;chr&gt;         &lt;int&gt;      &lt;dbl&gt;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1 Hybrid           High            360       35.7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2 Hybrid           Low             193       19.2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3 Hybrid           Medium          454       45.1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4 Onsite           High            413       26.4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5 Onsite           Low             471       30.2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6 Onsite           Medium          678       43.4</w:t>
      </w:r>
    </w:p>
    <w:p w14:paraId="50BE400C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ggplot</w:t>
      </w:r>
      <w:r>
        <w:rPr>
          <w:rStyle w:val="82"/>
          <w:rFonts w:hint="default" w:ascii="Times New Roman" w:hAnsi="Times New Roman" w:cs="Times New Roman"/>
        </w:rPr>
        <w:t>(burnout_by_arrangement,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</w:t>
      </w:r>
      <w:r>
        <w:rPr>
          <w:rStyle w:val="69"/>
          <w:rFonts w:hint="default" w:ascii="Times New Roman" w:hAnsi="Times New Roman" w:cs="Times New Roman"/>
        </w:rPr>
        <w:t>aes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Work_Arrangement,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Percentage, </w:t>
      </w:r>
      <w:r>
        <w:rPr>
          <w:rStyle w:val="76"/>
          <w:rFonts w:hint="default" w:ascii="Times New Roman" w:hAnsi="Times New Roman" w:cs="Times New Roman"/>
        </w:rPr>
        <w:t>fill =</w:t>
      </w:r>
      <w:r>
        <w:rPr>
          <w:rStyle w:val="82"/>
          <w:rFonts w:hint="default" w:ascii="Times New Roman" w:hAnsi="Times New Roman" w:cs="Times New Roman"/>
        </w:rPr>
        <w:t xml:space="preserve"> Burnout_Level))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geom_col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width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6"/>
          <w:rFonts w:hint="default" w:ascii="Times New Roman" w:hAnsi="Times New Roman" w:cs="Times New Roman"/>
        </w:rPr>
        <w:t>0.6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scale_fill_manual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values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"Low"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8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"#A6D8A0"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60"/>
          <w:rFonts w:hint="default" w:ascii="Times New Roman" w:hAnsi="Times New Roman" w:cs="Times New Roman"/>
        </w:rPr>
        <w:t>"Medium"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8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"#F9CB8F"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60"/>
          <w:rFonts w:hint="default" w:ascii="Times New Roman" w:hAnsi="Times New Roman" w:cs="Times New Roman"/>
        </w:rPr>
        <w:t>"High"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8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"#F38D8D"</w:t>
      </w:r>
      <w:r>
        <w:rPr>
          <w:rStyle w:val="82"/>
          <w:rFonts w:hint="default" w:ascii="Times New Roman" w:hAnsi="Times New Roman" w:cs="Times New Roman"/>
        </w:rPr>
        <w:t xml:space="preserve">))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labs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"Work Type"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"Percentage of Employees"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fill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"Burnout Level"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theme_minimal</w:t>
      </w:r>
      <w:r>
        <w:rPr>
          <w:rStyle w:val="82"/>
          <w:rFonts w:hint="default" w:ascii="Times New Roman" w:hAnsi="Times New Roman" w:cs="Times New Roman"/>
        </w:rPr>
        <w:t xml:space="preserve">()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panel.grid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element_blank</w:t>
      </w:r>
      <w:r>
        <w:rPr>
          <w:rStyle w:val="82"/>
          <w:rFonts w:hint="default" w:ascii="Times New Roman" w:hAnsi="Times New Roman" w:cs="Times New Roman"/>
        </w:rPr>
        <w:t xml:space="preserve">(), </w:t>
      </w:r>
      <w:r>
        <w:rPr>
          <w:rStyle w:val="76"/>
          <w:rFonts w:hint="default" w:ascii="Times New Roman" w:hAnsi="Times New Roman" w:cs="Times New Roman"/>
        </w:rPr>
        <w:t>axis.text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element_text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size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11</w:t>
      </w:r>
      <w:r>
        <w:rPr>
          <w:rStyle w:val="82"/>
          <w:rFonts w:hint="default" w:ascii="Times New Roman" w:hAnsi="Times New Roman" w:cs="Times New Roman"/>
        </w:rPr>
        <w:t xml:space="preserve">), </w:t>
      </w:r>
      <w:r>
        <w:rPr>
          <w:rStyle w:val="76"/>
          <w:rFonts w:hint="default" w:ascii="Times New Roman" w:hAnsi="Times New Roman" w:cs="Times New Roman"/>
        </w:rPr>
        <w:t>legend.position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"top"</w:t>
      </w:r>
      <w:r>
        <w:rPr>
          <w:rStyle w:val="82"/>
          <w:rFonts w:hint="default" w:ascii="Times New Roman" w:hAnsi="Times New Roman" w:cs="Times New Roman"/>
        </w:rPr>
        <w:t>)</w:t>
      </w:r>
    </w:p>
    <w:p w14:paraId="46851B4F">
      <w:pPr>
        <w:pStyle w:val="2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19625" cy="3695700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61A72675">
      <w:pPr>
        <w:pStyle w:val="4"/>
        <w:rPr>
          <w:rFonts w:hint="default" w:ascii="Times New Roman" w:hAnsi="Times New Roman" w:cs="Times New Roman"/>
        </w:rPr>
      </w:pPr>
      <w:bookmarkStart w:id="4" w:name="mental-health-and-burnout"/>
      <w:r>
        <w:rPr>
          <w:rFonts w:hint="default" w:ascii="Times New Roman" w:hAnsi="Times New Roman" w:cs="Times New Roman"/>
          <w:b/>
          <w:bCs/>
        </w:rPr>
        <w:t>3. Mental Health and Burnout</w:t>
      </w:r>
    </w:p>
    <w:p w14:paraId="493C643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Employees with pre-existing mental health conditions (such as anxiety, ADHD, or stress disorders) showed a much higher likelihood of reporting ‘High Burnout.’ Visualization confirms the strong overlap between mental health challenges and burnout.</w:t>
      </w:r>
    </w:p>
    <w:p w14:paraId="305E5E5F">
      <w:pPr>
        <w:pStyle w:val="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# Groups:   Mental_Health_Status [2]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Mental_Health_Status Burnout_Level Count Percentage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&lt;chr&gt;                &lt;chr&gt;         &lt;int&gt;      &lt;dbl&gt;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1 ADHD                 High            119       30.9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2 ADHD                 Low             109       28.3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3 ADHD                 Medium          157       40.8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4 Anxiety              High            136       34.5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5 Anxiety              Low              92       23.4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6 Anxiety              Medium          166       42.1</w:t>
      </w:r>
    </w:p>
    <w:p w14:paraId="39127846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ggplot</w:t>
      </w:r>
      <w:r>
        <w:rPr>
          <w:rStyle w:val="82"/>
          <w:rFonts w:hint="default" w:ascii="Times New Roman" w:hAnsi="Times New Roman" w:cs="Times New Roman"/>
        </w:rPr>
        <w:t xml:space="preserve">(mental_health_burnout, </w:t>
      </w:r>
      <w:r>
        <w:rPr>
          <w:rStyle w:val="69"/>
          <w:rFonts w:hint="default" w:ascii="Times New Roman" w:hAnsi="Times New Roman" w:cs="Times New Roman"/>
        </w:rPr>
        <w:t>aes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Mental_Health_Status,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Percentage, </w:t>
      </w:r>
      <w:r>
        <w:rPr>
          <w:rStyle w:val="76"/>
          <w:rFonts w:hint="default" w:ascii="Times New Roman" w:hAnsi="Times New Roman" w:cs="Times New Roman"/>
        </w:rPr>
        <w:t>fill =</w:t>
      </w:r>
      <w:r>
        <w:rPr>
          <w:rStyle w:val="82"/>
          <w:rFonts w:hint="default" w:ascii="Times New Roman" w:hAnsi="Times New Roman" w:cs="Times New Roman"/>
        </w:rPr>
        <w:t xml:space="preserve"> Burnout_Level))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geom_bar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stat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"identity"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position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"dodge"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labs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title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"Burnout Levels by Mental Health Status"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"Mental Health Condition"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"Percentage (%)"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theme_minimal</w:t>
      </w:r>
      <w:r>
        <w:rPr>
          <w:rStyle w:val="82"/>
          <w:rFonts w:hint="default" w:ascii="Times New Roman" w:hAnsi="Times New Roman" w:cs="Times New Roman"/>
        </w:rPr>
        <w:t xml:space="preserve">()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axis.text.x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element_text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angle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45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hjust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82"/>
          <w:rFonts w:hint="default" w:ascii="Times New Roman" w:hAnsi="Times New Roman" w:cs="Times New Roman"/>
        </w:rPr>
        <w:t>))</w:t>
      </w:r>
    </w:p>
    <w:p w14:paraId="5828EB58">
      <w:pPr>
        <w:pStyle w:val="2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19625" cy="369570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7BD10A0A">
      <w:pPr>
        <w:pStyle w:val="4"/>
        <w:rPr>
          <w:rFonts w:hint="default" w:ascii="Times New Roman" w:hAnsi="Times New Roman" w:cs="Times New Roman"/>
        </w:rPr>
      </w:pPr>
      <w:bookmarkStart w:id="5" w:name="age-and-burnout"/>
      <w:r>
        <w:rPr>
          <w:rFonts w:hint="default" w:ascii="Times New Roman" w:hAnsi="Times New Roman" w:cs="Times New Roman"/>
          <w:b/>
          <w:bCs/>
        </w:rPr>
        <w:t>4. Age and Burnout</w:t>
      </w:r>
    </w:p>
    <w:p w14:paraId="2461497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Burnout levels varied by age group. Younger employees (under 30) had the highest proportion of burnout, while workers aged 40+ were less likely to report severe burnout. Age bands were grouped as Under 30, 30–39, 40–49, and 50+ for clarity.</w:t>
      </w:r>
    </w:p>
    <w:p w14:paraId="14CC27D5">
      <w:pPr>
        <w:pStyle w:val="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# Groups:   Age_Group [2]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Age_Group Burnout_Level Count Percentage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  &lt;chr&gt;     &lt;chr&gt;         &lt;int&gt;      &lt;dbl&gt;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1 30-39     High            256       36.7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2 30-39     Low             149       21.4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3 30-39     Medium          292       41.9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4 40-49     High            230       31.1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5 40-49     Low             180       24.4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## 6 40-49     Medium          329       44.5</w:t>
      </w:r>
    </w:p>
    <w:p w14:paraId="75549A45">
      <w:pPr>
        <w:pStyle w:val="49"/>
        <w:rPr>
          <w:rFonts w:hint="default" w:ascii="Times New Roman" w:hAnsi="Times New Roman" w:cs="Times New Roman"/>
        </w:rPr>
      </w:pPr>
      <w:r>
        <w:rPr>
          <w:rStyle w:val="69"/>
          <w:rFonts w:hint="default" w:ascii="Times New Roman" w:hAnsi="Times New Roman" w:cs="Times New Roman"/>
        </w:rPr>
        <w:t>ggplot</w:t>
      </w:r>
      <w:r>
        <w:rPr>
          <w:rStyle w:val="82"/>
          <w:rFonts w:hint="default" w:ascii="Times New Roman" w:hAnsi="Times New Roman" w:cs="Times New Roman"/>
        </w:rPr>
        <w:t xml:space="preserve">(burnout_by_age,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</w:t>
      </w:r>
      <w:r>
        <w:rPr>
          <w:rStyle w:val="69"/>
          <w:rFonts w:hint="default" w:ascii="Times New Roman" w:hAnsi="Times New Roman" w:cs="Times New Roman"/>
        </w:rPr>
        <w:t>aes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Age_Group,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Percentage, </w:t>
      </w:r>
      <w:r>
        <w:rPr>
          <w:rStyle w:val="76"/>
          <w:rFonts w:hint="default" w:ascii="Times New Roman" w:hAnsi="Times New Roman" w:cs="Times New Roman"/>
        </w:rPr>
        <w:t>fill =</w:t>
      </w:r>
      <w:r>
        <w:rPr>
          <w:rStyle w:val="82"/>
          <w:rFonts w:hint="default" w:ascii="Times New Roman" w:hAnsi="Times New Roman" w:cs="Times New Roman"/>
        </w:rPr>
        <w:t xml:space="preserve"> Burnout_Level))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geom_col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width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6"/>
          <w:rFonts w:hint="default" w:ascii="Times New Roman" w:hAnsi="Times New Roman" w:cs="Times New Roman"/>
        </w:rPr>
        <w:t>0.6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color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"white"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linewidth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6"/>
          <w:rFonts w:hint="default" w:ascii="Times New Roman" w:hAnsi="Times New Roman" w:cs="Times New Roman"/>
        </w:rPr>
        <w:t>0.3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scale_fill_manual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values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"Low"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8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"#7bc8a4"</w:t>
      </w:r>
      <w:r>
        <w:rPr>
          <w:rStyle w:val="82"/>
          <w:rFonts w:hint="default" w:ascii="Times New Roman" w:hAnsi="Times New Roman" w:cs="Times New Roman"/>
        </w:rPr>
        <w:t xml:space="preserve">,   </w:t>
      </w:r>
      <w:r>
        <w:rPr>
          <w:rStyle w:val="60"/>
          <w:rFonts w:hint="default" w:ascii="Times New Roman" w:hAnsi="Times New Roman" w:cs="Times New Roman"/>
        </w:rPr>
        <w:t>"Medium"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8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"#ffb347"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60"/>
          <w:rFonts w:hint="default" w:ascii="Times New Roman" w:hAnsi="Times New Roman" w:cs="Times New Roman"/>
        </w:rPr>
        <w:t>"High"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8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"#ff6b6b"</w:t>
      </w:r>
      <w:r>
        <w:rPr>
          <w:rStyle w:val="82"/>
          <w:rFonts w:hint="default" w:ascii="Times New Roman" w:hAnsi="Times New Roman" w:cs="Times New Roman"/>
        </w:rPr>
        <w:t xml:space="preserve">))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labs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x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"Age Group"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y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"Percentage (%)"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fill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"Burnout Level"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theme_minimal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base_size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12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theme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legend.position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"top"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panel.grid.major.x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element_blank</w:t>
      </w:r>
      <w:r>
        <w:rPr>
          <w:rStyle w:val="82"/>
          <w:rFonts w:hint="default" w:ascii="Times New Roman" w:hAnsi="Times New Roman" w:cs="Times New Roman"/>
        </w:rPr>
        <w:t xml:space="preserve">(), </w:t>
      </w:r>
      <w:r>
        <w:rPr>
          <w:rStyle w:val="76"/>
          <w:rFonts w:hint="default" w:ascii="Times New Roman" w:hAnsi="Times New Roman" w:cs="Times New Roman"/>
        </w:rPr>
        <w:t>plot.title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element_text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hjust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6"/>
          <w:rFonts w:hint="default" w:ascii="Times New Roman" w:hAnsi="Times New Roman" w:cs="Times New Roman"/>
        </w:rPr>
        <w:t>0.5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face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"bold"</w:t>
      </w:r>
      <w:r>
        <w:rPr>
          <w:rStyle w:val="82"/>
          <w:rFonts w:hint="default" w:ascii="Times New Roman" w:hAnsi="Times New Roman" w:cs="Times New Roman"/>
        </w:rPr>
        <w:t xml:space="preserve">)) </w:t>
      </w:r>
      <w:r>
        <w:rPr>
          <w:rStyle w:val="59"/>
          <w:rFonts w:hint="default" w:ascii="Times New Roman" w:hAnsi="Times New Roman" w:cs="Times New Roman"/>
        </w:rPr>
        <w:t>+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69"/>
          <w:rFonts w:hint="default" w:ascii="Times New Roman" w:hAnsi="Times New Roman" w:cs="Times New Roman"/>
        </w:rPr>
        <w:t>geom_text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69"/>
          <w:rFonts w:hint="default" w:ascii="Times New Roman" w:hAnsi="Times New Roman" w:cs="Times New Roman"/>
        </w:rPr>
        <w:t>aes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label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paste0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69"/>
          <w:rFonts w:hint="default" w:ascii="Times New Roman" w:hAnsi="Times New Roman" w:cs="Times New Roman"/>
        </w:rPr>
        <w:t>round</w:t>
      </w:r>
      <w:r>
        <w:rPr>
          <w:rStyle w:val="82"/>
          <w:rFonts w:hint="default" w:ascii="Times New Roman" w:hAnsi="Times New Roman" w:cs="Times New Roman"/>
        </w:rPr>
        <w:t xml:space="preserve">(Percentage), </w:t>
      </w:r>
      <w:r>
        <w:rPr>
          <w:rStyle w:val="60"/>
          <w:rFonts w:hint="default" w:ascii="Times New Roman" w:hAnsi="Times New Roman" w:cs="Times New Roman"/>
        </w:rPr>
        <w:t>"%"</w:t>
      </w:r>
      <w:r>
        <w:rPr>
          <w:rStyle w:val="82"/>
          <w:rFonts w:hint="default" w:ascii="Times New Roman" w:hAnsi="Times New Roman" w:cs="Times New Roman"/>
        </w:rPr>
        <w:t xml:space="preserve">)), </w:t>
      </w:r>
      <w:r>
        <w:rPr>
          <w:rStyle w:val="76"/>
          <w:rFonts w:hint="default" w:ascii="Times New Roman" w:hAnsi="Times New Roman" w:cs="Times New Roman"/>
        </w:rPr>
        <w:t>position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position_stack</w:t>
      </w:r>
      <w:r>
        <w:rPr>
          <w:rStyle w:val="82"/>
          <w:rFonts w:hint="default" w:ascii="Times New Roman" w:hAnsi="Times New Roman" w:cs="Times New Roman"/>
        </w:rPr>
        <w:t>(</w:t>
      </w:r>
      <w:r>
        <w:rPr>
          <w:rStyle w:val="76"/>
          <w:rFonts w:hint="default" w:ascii="Times New Roman" w:hAnsi="Times New Roman" w:cs="Times New Roman"/>
        </w:rPr>
        <w:t>vjust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6"/>
          <w:rFonts w:hint="default" w:ascii="Times New Roman" w:hAnsi="Times New Roman" w:cs="Times New Roman"/>
        </w:rPr>
        <w:t>0.5</w:t>
      </w:r>
      <w:r>
        <w:rPr>
          <w:rStyle w:val="82"/>
          <w:rFonts w:hint="default" w:ascii="Times New Roman" w:hAnsi="Times New Roman" w:cs="Times New Roman"/>
        </w:rPr>
        <w:t xml:space="preserve">), </w:t>
      </w:r>
      <w:r>
        <w:rPr>
          <w:rStyle w:val="76"/>
          <w:rFonts w:hint="default" w:ascii="Times New Roman" w:hAnsi="Times New Roman" w:cs="Times New Roman"/>
        </w:rPr>
        <w:t>color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"white"</w:t>
      </w:r>
      <w:r>
        <w:rPr>
          <w:rStyle w:val="82"/>
          <w:rFonts w:hint="default" w:ascii="Times New Roman" w:hAnsi="Times New Roman" w:cs="Times New Roman"/>
        </w:rPr>
        <w:t xml:space="preserve">, </w:t>
      </w:r>
      <w:r>
        <w:rPr>
          <w:rStyle w:val="76"/>
          <w:rFonts w:hint="default" w:ascii="Times New Roman" w:hAnsi="Times New Roman" w:cs="Times New Roman"/>
        </w:rPr>
        <w:t>size 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6"/>
          <w:rFonts w:hint="default" w:ascii="Times New Roman" w:hAnsi="Times New Roman" w:cs="Times New Roman"/>
        </w:rPr>
        <w:t>3.8</w:t>
      </w:r>
      <w:r>
        <w:rPr>
          <w:rStyle w:val="82"/>
          <w:rFonts w:hint="default" w:ascii="Times New Roman" w:hAnsi="Times New Roman" w:cs="Times New Roman"/>
        </w:rPr>
        <w:t>)</w:t>
      </w:r>
    </w:p>
    <w:p w14:paraId="088A3757">
      <w:pPr>
        <w:pStyle w:val="2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19625" cy="3695700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5"/>
    <w:p w14:paraId="3D70DB8E">
      <w:pPr>
        <w:pStyle w:val="2"/>
        <w:rPr>
          <w:rFonts w:hint="default" w:ascii="Times New Roman" w:hAnsi="Times New Roman" w:cs="Times New Roman"/>
        </w:rPr>
      </w:pPr>
      <w:bookmarkStart w:id="6" w:name="conclusion"/>
      <w:r>
        <w:rPr>
          <w:rFonts w:hint="default" w:ascii="Times New Roman" w:hAnsi="Times New Roman" w:cs="Times New Roman"/>
          <w:b/>
          <w:bCs/>
        </w:rPr>
        <w:t>Conclusion</w:t>
      </w:r>
    </w:p>
    <w:p w14:paraId="0B891E1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analysis highlights that remote workers and younger employees are more at risk of high burnout. Additionally, mental health conditions strongly correlate with increased burnout.</w:t>
      </w:r>
    </w:p>
    <w:bookmarkEnd w:id="6"/>
    <w:p w14:paraId="5742E6EF">
      <w:pPr>
        <w:pStyle w:val="2"/>
        <w:rPr>
          <w:rFonts w:hint="default" w:ascii="Times New Roman" w:hAnsi="Times New Roman" w:cs="Times New Roman"/>
        </w:rPr>
      </w:pPr>
      <w:bookmarkStart w:id="7" w:name="recommendations"/>
      <w:r>
        <w:rPr>
          <w:rFonts w:hint="default" w:ascii="Times New Roman" w:hAnsi="Times New Roman" w:cs="Times New Roman"/>
        </w:rPr>
        <w:t>**Recommendations:</w:t>
      </w:r>
    </w:p>
    <w:p w14:paraId="3A118297">
      <w:pPr>
        <w:pStyle w:val="23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Based on the findings, organizations should consider the following actions:</w:t>
      </w:r>
    </w:p>
    <w:p w14:paraId="5FC78F8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Implement targeted wellness programs for remote employees, focusing on reducing screen fatigue.</w:t>
      </w:r>
    </w:p>
    <w:p w14:paraId="4D85346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Provide age-specific support initiatives, such as mentorship for younger staff.</w:t>
      </w:r>
    </w:p>
    <w:p w14:paraId="2B4960D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Encourage flexible work arrangements for high-burnout groups.</w:t>
      </w:r>
    </w:p>
    <w:p w14:paraId="287D38C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Offer mental health resources, such as counseling and stress management workshops.</w:t>
      </w:r>
    </w:p>
    <w:p w14:paraId="09C23F5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Monitor workload and ensure employees maintain work-life balance.</w:t>
      </w:r>
    </w:p>
    <w:bookmarkEnd w:id="7"/>
    <w:sectPr>
      <w:pgMar w:top="1440" w:right="360" w:bottom="144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2BC5067"/>
    <w:rsid w:val="3F2F5930"/>
    <w:rsid w:val="6CC02C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shd w:val="clear" w:fill="F8F8F8"/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qFormat/>
    <w:uiPriority w:val="0"/>
    <w:rPr>
      <w:color w:val="204A87"/>
      <w:shd w:val="clear" w:fill="F8F8F8"/>
    </w:rPr>
  </w:style>
  <w:style w:type="character" w:customStyle="1" w:styleId="54">
    <w:name w:val="DecValTok"/>
    <w:basedOn w:val="48"/>
    <w:qFormat/>
    <w:uiPriority w:val="0"/>
    <w:rPr>
      <w:color w:val="0000CF"/>
      <w:shd w:val="clear" w:fill="F8F8F8"/>
    </w:rPr>
  </w:style>
  <w:style w:type="character" w:customStyle="1" w:styleId="55">
    <w:name w:val="BaseNTok"/>
    <w:basedOn w:val="48"/>
    <w:qFormat/>
    <w:uiPriority w:val="0"/>
    <w:rPr>
      <w:color w:val="0000CF"/>
      <w:shd w:val="clear" w:fill="F8F8F8"/>
    </w:rPr>
  </w:style>
  <w:style w:type="character" w:customStyle="1" w:styleId="56">
    <w:name w:val="FloatTok"/>
    <w:basedOn w:val="48"/>
    <w:qFormat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8F8F8"/>
    </w:rPr>
  </w:style>
  <w:style w:type="character" w:customStyle="1" w:styleId="58">
    <w:name w:val="CharTok"/>
    <w:basedOn w:val="48"/>
    <w:qFormat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qFormat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uiPriority w:val="0"/>
    <w:rPr>
      <w:color w:val="4E9A06"/>
      <w:shd w:val="clear" w:fill="F8F8F8"/>
    </w:rPr>
  </w:style>
  <w:style w:type="character" w:customStyle="1" w:styleId="63">
    <w:name w:val="ImportTok"/>
    <w:basedOn w:val="48"/>
    <w:uiPriority w:val="0"/>
    <w:rPr>
      <w:shd w:val="clear" w:fill="F8F8F8"/>
    </w:rPr>
  </w:style>
  <w:style w:type="character" w:customStyle="1" w:styleId="64">
    <w:name w:val="CommentTok"/>
    <w:basedOn w:val="48"/>
    <w:qFormat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qFormat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qFormat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qFormat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uiPriority w:val="0"/>
    <w:rPr>
      <w:shd w:val="clear" w:fill="F8F8F8"/>
    </w:rPr>
  </w:style>
  <w:style w:type="character" w:customStyle="1" w:styleId="74">
    <w:name w:val="ExtensionTok"/>
    <w:basedOn w:val="48"/>
    <w:qFormat/>
    <w:uiPriority w:val="0"/>
    <w:rPr>
      <w:shd w:val="clear" w:fill="F8F8F8"/>
    </w:rPr>
  </w:style>
  <w:style w:type="character" w:customStyle="1" w:styleId="75">
    <w:name w:val="PreprocessorTok"/>
    <w:basedOn w:val="48"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qFormat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qFormat/>
    <w:uiPriority w:val="0"/>
    <w:rPr>
      <w:shd w:val="clear" w:fill="F8F8F8"/>
    </w:rPr>
  </w:style>
  <w:style w:type="character" w:customStyle="1" w:styleId="78">
    <w:name w:val="InformationTok"/>
    <w:basedOn w:val="48"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uiPriority w:val="0"/>
    <w:rPr>
      <w:color w:val="EF2929"/>
      <w:shd w:val="clear" w:fill="F8F8F8"/>
    </w:rPr>
  </w:style>
  <w:style w:type="character" w:customStyle="1" w:styleId="81">
    <w:name w:val="ErrorTok"/>
    <w:basedOn w:val="48"/>
    <w:qFormat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15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2025-08-16T10:51:00Z</dcterms:created>
  <dc:creator>Danylo Karaulanov</dc:creator>
  <cp:lastModifiedBy>Данил Караулано�</cp:lastModifiedBy>
  <dcterms:modified xsi:type="dcterms:W3CDTF">2025-08-16T15:32:59Z</dcterms:modified>
  <dc:title>Remote Work Health Impact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2025-08-15</vt:lpwstr>
  </property>
  <property fmtid="{D5CDD505-2E9C-101B-9397-08002B2CF9AE}" pid="3" name="output">
    <vt:lpwstr/>
  </property>
  <property fmtid="{D5CDD505-2E9C-101B-9397-08002B2CF9AE}" pid="4" name="KSOProductBuildVer">
    <vt:lpwstr>2057-12.2.0.21931</vt:lpwstr>
  </property>
  <property fmtid="{D5CDD505-2E9C-101B-9397-08002B2CF9AE}" pid="5" name="ICV">
    <vt:lpwstr>59B999745C9B4BE59C201F0E89407345_12</vt:lpwstr>
  </property>
</Properties>
</file>