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3600" w:firstLine="0"/>
        <w:jc w:val="left"/>
        <w:rPr>
          <w:rFonts w:ascii="Times New Roman" w:hAnsi="Times New Roman" w:cs="Times New Roman" w:eastAsia="Times New Roman"/>
          <w:color w:val="auto"/>
          <w:spacing w:val="0"/>
          <w:position w:val="0"/>
          <w:sz w:val="24"/>
          <w:shd w:fill="auto" w:val="clear"/>
        </w:rPr>
      </w:pPr>
      <w:r>
        <w:object w:dxaOrig="1391" w:dyaOrig="1460">
          <v:rect xmlns:o="urn:schemas-microsoft-com:office:office" xmlns:v="urn:schemas-microsoft-com:vml" id="rectole0000000000" style="width:69.550000pt;height:73.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4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24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000000"/>
          <w:spacing w:val="0"/>
          <w:position w:val="0"/>
          <w:sz w:val="18"/>
          <w:shd w:fill="auto" w:val="clear"/>
        </w:rPr>
        <w:t xml:space="preserve">МІНІСТЕРСТВО ОСВІТИ І НАУКИ УКРАЇНИ</w:t>
      </w:r>
    </w:p>
    <w:p>
      <w:pPr>
        <w:spacing w:before="0" w:after="24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000000"/>
          <w:spacing w:val="0"/>
          <w:position w:val="0"/>
          <w:sz w:val="22"/>
          <w:shd w:fill="auto" w:val="clear"/>
        </w:rPr>
        <w:t xml:space="preserve">Українська академія  друкарства </w:t>
      </w:r>
    </w:p>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000000"/>
          <w:spacing w:val="0"/>
          <w:position w:val="0"/>
          <w:sz w:val="22"/>
          <w:shd w:fill="auto" w:val="clear"/>
        </w:rPr>
        <w:t xml:space="preserve">Кафедра комп’ютерних наук та інформаційних технологій</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t>
      </w:r>
      <w:r>
        <w:rPr>
          <w:rFonts w:ascii="Roboto" w:hAnsi="Roboto" w:cs="Roboto" w:eastAsia="Roboto"/>
          <w:color w:val="373A3C"/>
          <w:spacing w:val="0"/>
          <w:position w:val="0"/>
          <w:sz w:val="20"/>
          <w:shd w:fill="auto" w:val="clear"/>
        </w:rPr>
        <w:t xml:space="preserve">Основи інформаційних технологій видавничої сфери</w:t>
      </w:r>
      <w:r>
        <w:rPr>
          <w:rFonts w:ascii="Times New Roman" w:hAnsi="Times New Roman" w:cs="Times New Roman" w:eastAsia="Times New Roman"/>
          <w:color w:val="000000"/>
          <w:spacing w:val="0"/>
          <w:position w:val="0"/>
          <w:sz w:val="22"/>
          <w:shd w:fill="auto" w:val="clear"/>
        </w:rPr>
        <w:t xml:space="preserve">»</w:t>
      </w:r>
    </w:p>
    <w:p>
      <w:pPr>
        <w:spacing w:before="0" w:after="240" w:line="240"/>
        <w:ind w:right="0" w:left="0" w:firstLine="0"/>
        <w:jc w:val="righ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i/>
          <w:color w:val="000000"/>
          <w:spacing w:val="0"/>
          <w:position w:val="0"/>
          <w:sz w:val="18"/>
          <w:shd w:fill="auto" w:val="clear"/>
        </w:rPr>
        <w:t xml:space="preserve">Виконав: Матюнін Данило КН-11</w:t>
      </w:r>
    </w:p>
    <w:p>
      <w:pPr>
        <w:spacing w:before="0" w:after="160" w:line="259"/>
        <w:ind w:right="0" w:left="0" w:firstLine="0"/>
        <w:jc w:val="center"/>
        <w:rPr>
          <w:rFonts w:ascii="Arial" w:hAnsi="Arial" w:cs="Arial" w:eastAsia="Arial"/>
          <w:b/>
          <w:color w:val="auto"/>
          <w:spacing w:val="0"/>
          <w:position w:val="0"/>
          <w:sz w:val="20"/>
          <w:shd w:fill="auto" w:val="clear"/>
        </w:rPr>
      </w:pPr>
    </w:p>
    <w:p>
      <w:pPr>
        <w:spacing w:before="0" w:after="160" w:line="259"/>
        <w:ind w:right="0" w:left="0" w:firstLine="0"/>
        <w:jc w:val="center"/>
        <w:rPr>
          <w:rFonts w:ascii="Arial" w:hAnsi="Arial" w:cs="Arial" w:eastAsia="Arial"/>
          <w:b/>
          <w:color w:val="auto"/>
          <w:spacing w:val="0"/>
          <w:position w:val="0"/>
          <w:sz w:val="20"/>
          <w:shd w:fill="auto" w:val="clear"/>
        </w:rPr>
      </w:pPr>
    </w:p>
    <w:p>
      <w:pPr>
        <w:spacing w:before="0" w:after="160" w:line="259"/>
        <w:ind w:right="0" w:left="0" w:firstLine="0"/>
        <w:jc w:val="center"/>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Модульний контроль </w:t>
      </w:r>
      <w:r>
        <w:rPr>
          <w:rFonts w:ascii="Segoe UI Symbol" w:hAnsi="Segoe UI Symbol" w:cs="Segoe UI Symbol" w:eastAsia="Segoe UI Symbo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2 </w:t>
      </w:r>
    </w:p>
    <w:p>
      <w:pPr>
        <w:spacing w:before="0" w:after="160" w:line="259"/>
        <w:ind w:right="0" w:left="0" w:firstLine="0"/>
        <w:jc w:val="center"/>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В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1</w:t>
      </w:r>
    </w:p>
    <w:p>
      <w:pPr>
        <w:spacing w:before="0" w:after="160" w:line="259"/>
        <w:ind w:right="0" w:left="0" w:firstLine="0"/>
        <w:jc w:val="center"/>
        <w:rPr>
          <w:rFonts w:ascii="Arial" w:hAnsi="Arial" w:cs="Arial" w:eastAsia="Arial"/>
          <w:b/>
          <w:color w:val="auto"/>
          <w:spacing w:val="0"/>
          <w:position w:val="0"/>
          <w:sz w:val="22"/>
          <w:shd w:fill="auto" w:val="clear"/>
        </w:rPr>
      </w:pPr>
    </w:p>
    <w:p>
      <w:pPr>
        <w:numPr>
          <w:ilvl w:val="0"/>
          <w:numId w:val="12"/>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Які функції виконує електронна таблиця?</w:t>
      </w:r>
    </w:p>
    <w:p>
      <w:pPr>
        <w:spacing w:before="0" w:after="160" w:line="259"/>
        <w:ind w:right="0" w:left="720" w:firstLine="0"/>
        <w:jc w:val="left"/>
        <w:rPr>
          <w:rFonts w:ascii="Arial" w:hAnsi="Arial" w:cs="Arial" w:eastAsia="Arial"/>
          <w:color w:val="auto"/>
          <w:spacing w:val="0"/>
          <w:position w:val="0"/>
          <w:sz w:val="22"/>
          <w:shd w:fill="auto" w:val="clear"/>
        </w:rPr>
      </w:pPr>
    </w:p>
    <w:p>
      <w:pPr>
        <w:spacing w:before="0" w:after="160" w:line="259"/>
        <w:ind w:right="0" w:left="1416"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г) усі твердження правильні</w:t>
      </w:r>
    </w:p>
    <w:p>
      <w:pPr>
        <w:spacing w:before="0" w:after="160" w:line="259"/>
        <w:ind w:right="0" w:left="1416" w:firstLine="0"/>
        <w:jc w:val="left"/>
        <w:rPr>
          <w:rFonts w:ascii="Arial" w:hAnsi="Arial" w:cs="Arial" w:eastAsia="Arial"/>
          <w:color w:val="auto"/>
          <w:spacing w:val="0"/>
          <w:position w:val="0"/>
          <w:sz w:val="22"/>
          <w:shd w:fill="auto" w:val="clear"/>
        </w:rPr>
      </w:pPr>
    </w:p>
    <w:p>
      <w:pPr>
        <w:numPr>
          <w:ilvl w:val="0"/>
          <w:numId w:val="15"/>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Які типи даних опрацьовують електронні табл</w:t>
      </w:r>
    </w:p>
    <w:p>
      <w:pPr>
        <w:spacing w:before="0" w:after="160" w:line="259"/>
        <w:ind w:right="0" w:left="1416"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 формула, текст, число</w:t>
      </w:r>
    </w:p>
    <w:p>
      <w:pPr>
        <w:numPr>
          <w:ilvl w:val="0"/>
          <w:numId w:val="1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Запис діапазону клітинок в exel такий:</w:t>
      </w:r>
    </w:p>
    <w:p>
      <w:pPr>
        <w:spacing w:before="0" w:after="160" w:line="259"/>
        <w:ind w:right="0" w:left="1416"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 A1:A2</w:t>
      </w:r>
    </w:p>
    <w:p>
      <w:pPr>
        <w:numPr>
          <w:ilvl w:val="0"/>
          <w:numId w:val="19"/>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Об’єкти табличного процесора:</w:t>
      </w:r>
    </w:p>
    <w:p>
      <w:pPr>
        <w:spacing w:before="0" w:after="160" w:line="259"/>
        <w:ind w:right="0" w:left="1416"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г) всі перечислені об'єкти</w:t>
      </w:r>
    </w:p>
    <w:p>
      <w:pPr>
        <w:numPr>
          <w:ilvl w:val="0"/>
          <w:numId w:val="21"/>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Що є найменшим елементом табличного процесора?</w:t>
      </w:r>
    </w:p>
    <w:p>
      <w:pPr>
        <w:spacing w:before="0" w:after="160" w:line="259"/>
        <w:ind w:right="0" w:left="1416"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г) клітинка</w:t>
      </w:r>
    </w:p>
    <w:p>
      <w:pPr>
        <w:numPr>
          <w:ilvl w:val="0"/>
          <w:numId w:val="23"/>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З яких елементів складається діаграма?</w:t>
      </w:r>
    </w:p>
    <w:p>
      <w:pPr>
        <w:spacing w:before="0" w:after="160" w:line="259"/>
        <w:ind w:right="0" w:left="1416"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а) область діаграми, легенда, вісь ряду даних, вісь значень.</w:t>
      </w:r>
    </w:p>
    <w:p>
      <w:pPr>
        <w:numPr>
          <w:ilvl w:val="0"/>
          <w:numId w:val="25"/>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 інтерфейс Excel не входять:</w:t>
      </w:r>
    </w:p>
    <w:p>
      <w:pPr>
        <w:spacing w:before="0" w:after="160" w:line="259"/>
        <w:ind w:right="0" w:left="1416"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 командний рядок</w:t>
      </w:r>
    </w:p>
    <w:p>
      <w:pPr>
        <w:numPr>
          <w:ilvl w:val="0"/>
          <w:numId w:val="2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Змінюючи дані в клітинці:</w:t>
      </w:r>
    </w:p>
    <w:p>
      <w:pPr>
        <w:spacing w:before="0" w:after="160" w:line="259"/>
        <w:ind w:right="0" w:left="1416"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б) усі результати перераховуються.</w:t>
      </w:r>
    </w:p>
    <w:p>
      <w:pPr>
        <w:spacing w:before="0" w:after="160" w:line="259"/>
        <w:ind w:right="0" w:left="1416" w:firstLine="0"/>
        <w:jc w:val="left"/>
        <w:rPr>
          <w:rFonts w:ascii="Arial" w:hAnsi="Arial" w:cs="Arial" w:eastAsia="Arial"/>
          <w:color w:val="auto"/>
          <w:spacing w:val="0"/>
          <w:position w:val="0"/>
          <w:sz w:val="22"/>
          <w:shd w:fill="auto" w:val="clear"/>
        </w:rPr>
      </w:pPr>
    </w:p>
    <w:p>
      <w:pPr>
        <w:spacing w:before="0" w:after="160" w:line="259"/>
        <w:ind w:right="0" w:left="1416" w:firstLine="0"/>
        <w:jc w:val="center"/>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Середній рівень</w:t>
      </w:r>
    </w:p>
    <w:p>
      <w:pPr>
        <w:spacing w:before="0" w:after="160" w:line="259"/>
        <w:ind w:right="0" w:left="1416" w:firstLine="0"/>
        <w:jc w:val="center"/>
        <w:rPr>
          <w:rFonts w:ascii="Arial" w:hAnsi="Arial" w:cs="Arial" w:eastAsia="Arial"/>
          <w:b/>
          <w:color w:val="auto"/>
          <w:spacing w:val="0"/>
          <w:position w:val="0"/>
          <w:sz w:val="22"/>
          <w:shd w:fill="auto" w:val="clear"/>
        </w:rPr>
      </w:pPr>
    </w:p>
    <w:p>
      <w:pPr>
        <w:numPr>
          <w:ilvl w:val="0"/>
          <w:numId w:val="30"/>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Назвіть головні типи діаграм:</w:t>
      </w:r>
    </w:p>
    <w:p>
      <w:pPr>
        <w:numPr>
          <w:ilvl w:val="0"/>
          <w:numId w:val="30"/>
        </w:numPr>
        <w:spacing w:before="0" w:after="160" w:line="259"/>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Стовпчикова діаграма</w:t>
      </w:r>
    </w:p>
    <w:p>
      <w:pPr>
        <w:numPr>
          <w:ilvl w:val="0"/>
          <w:numId w:val="30"/>
        </w:numPr>
        <w:spacing w:before="0" w:after="160" w:line="259"/>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Графік ліній</w:t>
      </w:r>
    </w:p>
    <w:p>
      <w:pPr>
        <w:numPr>
          <w:ilvl w:val="0"/>
          <w:numId w:val="30"/>
        </w:numPr>
        <w:spacing w:before="0" w:after="160" w:line="259"/>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Кругова діаграма</w:t>
      </w:r>
    </w:p>
    <w:p>
      <w:pPr>
        <w:numPr>
          <w:ilvl w:val="0"/>
          <w:numId w:val="30"/>
        </w:numPr>
        <w:spacing w:before="0" w:after="160" w:line="259"/>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Гістограма</w:t>
      </w:r>
    </w:p>
    <w:p>
      <w:pPr>
        <w:numPr>
          <w:ilvl w:val="0"/>
          <w:numId w:val="30"/>
        </w:numPr>
        <w:spacing w:before="0" w:after="160" w:line="259"/>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Точкова діаграма</w:t>
      </w:r>
    </w:p>
    <w:p>
      <w:pPr>
        <w:numPr>
          <w:ilvl w:val="0"/>
          <w:numId w:val="30"/>
        </w:numPr>
        <w:spacing w:before="0" w:after="160" w:line="259"/>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Розсіювальна діаграма</w:t>
      </w:r>
    </w:p>
    <w:p>
      <w:pPr>
        <w:numPr>
          <w:ilvl w:val="0"/>
          <w:numId w:val="30"/>
        </w:numPr>
        <w:spacing w:before="0" w:after="160" w:line="259"/>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Графік областей</w:t>
      </w:r>
    </w:p>
    <w:p>
      <w:pPr>
        <w:numPr>
          <w:ilvl w:val="0"/>
          <w:numId w:val="30"/>
        </w:numPr>
        <w:spacing w:before="0" w:after="160" w:line="259"/>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Діаграма "Box and Whisker"</w:t>
      </w:r>
    </w:p>
    <w:p>
      <w:pPr>
        <w:numPr>
          <w:ilvl w:val="0"/>
          <w:numId w:val="30"/>
        </w:numPr>
        <w:spacing w:before="0" w:after="160" w:line="259"/>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Пузирчаста діаграма</w:t>
      </w:r>
    </w:p>
    <w:p>
      <w:pPr>
        <w:numPr>
          <w:ilvl w:val="0"/>
          <w:numId w:val="30"/>
        </w:numPr>
        <w:spacing w:before="0" w:after="160" w:line="259"/>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Послідовна діаграма</w:t>
      </w:r>
    </w:p>
    <w:p>
      <w:pPr>
        <w:numPr>
          <w:ilvl w:val="0"/>
          <w:numId w:val="30"/>
        </w:numPr>
        <w:spacing w:before="0" w:after="160" w:line="259"/>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Парний графік</w:t>
      </w:r>
    </w:p>
    <w:p>
      <w:pPr>
        <w:spacing w:before="0" w:after="160" w:line="259"/>
        <w:ind w:right="0" w:left="720" w:firstLine="0"/>
        <w:jc w:val="left"/>
        <w:rPr>
          <w:rFonts w:ascii="Arial" w:hAnsi="Arial" w:cs="Arial" w:eastAsia="Arial"/>
          <w:color w:val="auto"/>
          <w:spacing w:val="0"/>
          <w:position w:val="0"/>
          <w:sz w:val="22"/>
          <w:shd w:fill="auto" w:val="clear"/>
        </w:rPr>
      </w:pPr>
    </w:p>
    <w:p>
      <w:pPr>
        <w:numPr>
          <w:ilvl w:val="0"/>
          <w:numId w:val="33"/>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Дайте визначення поняттям "діаграма" "формули" "робоча книга":</w:t>
      </w:r>
    </w:p>
    <w:p>
      <w:pPr>
        <w:numPr>
          <w:ilvl w:val="0"/>
          <w:numId w:val="33"/>
        </w:numPr>
        <w:spacing w:before="0" w:after="160" w:line="259"/>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Робоча книга - це файл, що містить одну або більше сторінок, відомих як аркуші. Кожен аркуш це окрема "сторінка" електронної таблиці, на якій можна ввести, організувати та обчислити дані. Робоча книга може містити багато аркушів, що дозволяє організовувати дані в різних частинах та проводити обчислення та аналіз за допомогою формул та функцій.</w:t>
      </w:r>
    </w:p>
    <w:p>
      <w:pPr>
        <w:spacing w:before="0" w:after="160" w:line="259"/>
        <w:ind w:right="0" w:left="1440" w:firstLine="0"/>
        <w:jc w:val="left"/>
        <w:rPr>
          <w:rFonts w:ascii="Arial" w:hAnsi="Arial" w:cs="Arial" w:eastAsia="Arial"/>
          <w:color w:val="auto"/>
          <w:spacing w:val="0"/>
          <w:position w:val="0"/>
          <w:sz w:val="22"/>
          <w:shd w:fill="auto" w:val="clear"/>
        </w:rPr>
      </w:pPr>
    </w:p>
    <w:p>
      <w:pPr>
        <w:numPr>
          <w:ilvl w:val="0"/>
          <w:numId w:val="36"/>
        </w:numPr>
        <w:spacing w:before="0" w:after="160" w:line="259"/>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Формула - це математичний вираз, що використовується для виконання розрахунків або отримання значень на основі даних, що знаходяться в електронній таблиці. Формули в Excel починаються з символу "=", і можуть включати оператори, посилання на клітинки, функції, математичні операції та інші елементи для виконання розрахунків та обробки даних.</w:t>
      </w:r>
    </w:p>
    <w:p>
      <w:pPr>
        <w:spacing w:before="0" w:after="160" w:line="259"/>
        <w:ind w:right="0" w:left="1440" w:firstLine="0"/>
        <w:jc w:val="left"/>
        <w:rPr>
          <w:rFonts w:ascii="Arial" w:hAnsi="Arial" w:cs="Arial" w:eastAsia="Arial"/>
          <w:color w:val="auto"/>
          <w:spacing w:val="0"/>
          <w:position w:val="0"/>
          <w:sz w:val="22"/>
          <w:shd w:fill="auto" w:val="clear"/>
        </w:rPr>
      </w:pPr>
    </w:p>
    <w:p>
      <w:pPr>
        <w:numPr>
          <w:ilvl w:val="0"/>
          <w:numId w:val="38"/>
        </w:numPr>
        <w:spacing w:before="0" w:after="160" w:line="259"/>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Діаграма - це візуальне представлення даних у вигляді графічного зображення. Діаграма допомагає відображати зв'язки, тренди та порівнювати дані у зрозумілій і легко сприйнятій формі. Excel надає різноманітні типи діаграм, такі як стовпчикові, лінійні, кругові, гістограми тощо, що можна використовувати для візуалізації різних видів даних.</w:t>
      </w:r>
    </w:p>
    <w:p>
      <w:pPr>
        <w:spacing w:before="0" w:after="160" w:line="259"/>
        <w:ind w:right="0" w:left="72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center"/>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Достатній рівень</w:t>
      </w:r>
    </w:p>
    <w:p>
      <w:pPr>
        <w:spacing w:before="0" w:after="160" w:line="259"/>
        <w:ind w:right="0" w:left="0" w:firstLine="0"/>
        <w:jc w:val="center"/>
        <w:rPr>
          <w:rFonts w:ascii="Arial" w:hAnsi="Arial" w:cs="Arial" w:eastAsia="Arial"/>
          <w:b/>
          <w:color w:val="auto"/>
          <w:spacing w:val="0"/>
          <w:position w:val="0"/>
          <w:sz w:val="22"/>
          <w:shd w:fill="auto" w:val="clear"/>
        </w:rPr>
      </w:pPr>
    </w:p>
    <w:p>
      <w:pPr>
        <w:spacing w:before="0" w:after="160" w:line="259"/>
        <w:ind w:right="0" w:left="0" w:firstLine="0"/>
        <w:jc w:val="center"/>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Помилка</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ДІЛ/0 - це помилка, яка виникає в Microsoft Excel, коли ви виконуєте ділення на нуль.</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ЗНАЧ! - це помилка, яка виникає в Microsoft Excel, коли ви використовуєте неправильний тип аргументу або неправильну структуру формули. Ця помилка вказує на те, що Excel не може розпізнати або обробити значення відповідного аргументу формули.</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Ім’я - це помилка, яка виникає в Microsoft Excel, коли Excel не може розпізнати введене ім'я або іменований діапазон. Ця помилка вказує на те, що Excel не може знайти визначення для введеного імені або іменованого діапазону. </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Н/Д - це спеціальне значення, що використовується в Microsoft Excel для позначення відсутності даних або неможливості знайти результат для певного запиту або посилання. Воно означає "Недоступно" або "Немає Даних".</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Пусто! - це спеціальне значення, яке використовується в Microsoft Excel для позначення відсутності даних у клітинці. Воно означає, що клітина не містить жодного значення або формули.</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 - </w:t>
      </w:r>
      <w:r>
        <w:rPr>
          <w:rFonts w:ascii="Arial" w:hAnsi="Arial" w:cs="Arial" w:eastAsia="Arial"/>
          <w:color w:val="auto"/>
          <w:spacing w:val="0"/>
          <w:position w:val="0"/>
          <w:sz w:val="22"/>
          <w:shd w:fill="auto" w:val="clear"/>
        </w:rPr>
        <w:t xml:space="preserve">це помилка, яка виникає в Microsoft Excel, коли посилання на клітинку стає недійсним або неправильним. Це може статися, коли ви видаляєте або переміщуєте клітинку, на яку є посилання, без оновлення формул або функцій, які використовують це посилання.</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Число! - це значення, яке використовується в Microsoft Excel для позначення некоректного числового формату або помилки у числовому введенні.</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w:t>
      </w:r>
      <w:r>
        <w:rPr>
          <w:rFonts w:ascii="Arial" w:hAnsi="Arial" w:cs="Arial" w:eastAsia="Arial"/>
          <w:color w:val="auto"/>
          <w:spacing w:val="0"/>
          <w:position w:val="0"/>
          <w:sz w:val="22"/>
          <w:shd w:fill="auto" w:val="clear"/>
        </w:rPr>
        <w:t xml:space="preserve">Яким чином можна задати необхідний формат для відображення числа?</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Існує кілька способів встановлення формату чисел:</w:t>
      </w:r>
    </w:p>
    <w:p>
      <w:pPr>
        <w:spacing w:before="0" w:after="160" w:line="259"/>
        <w:ind w:right="0" w:left="0" w:firstLine="0"/>
        <w:jc w:val="left"/>
        <w:rPr>
          <w:rFonts w:ascii="Arial" w:hAnsi="Arial" w:cs="Arial" w:eastAsia="Arial"/>
          <w:color w:val="auto"/>
          <w:spacing w:val="0"/>
          <w:position w:val="0"/>
          <w:sz w:val="22"/>
          <w:shd w:fill="auto" w:val="clear"/>
        </w:rPr>
      </w:pPr>
    </w:p>
    <w:p>
      <w:pPr>
        <w:numPr>
          <w:ilvl w:val="0"/>
          <w:numId w:val="43"/>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Вибір формату з передвстановлених категорій: Ви можете використовувати вбудовані категорії форматів, такі як "Число", "Валюта", "Відсоток", "Дата" тощо. Виберіть клітинку або діапазон клітинок, а потім виберіть бажаний формат з розділу "Формат" на панелі інструментів або за допомогою правого кліку і вибору "Форматувати клітини".</w:t>
      </w:r>
    </w:p>
    <w:p>
      <w:pPr>
        <w:spacing w:before="0" w:after="160" w:line="259"/>
        <w:ind w:right="0" w:left="0" w:firstLine="0"/>
        <w:jc w:val="left"/>
        <w:rPr>
          <w:rFonts w:ascii="Arial" w:hAnsi="Arial" w:cs="Arial" w:eastAsia="Arial"/>
          <w:color w:val="auto"/>
          <w:spacing w:val="0"/>
          <w:position w:val="0"/>
          <w:sz w:val="22"/>
          <w:shd w:fill="auto" w:val="clear"/>
        </w:rPr>
      </w:pPr>
    </w:p>
    <w:p>
      <w:pPr>
        <w:numPr>
          <w:ilvl w:val="0"/>
          <w:numId w:val="45"/>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Власний формат: Ви можете створити власний формат для відображення чисел згідно з вашими потребами. Натисніть правою кнопкою миші на клітинку або діапазон клітинок, виберіть "Форматувати клітини", а потім виберіть вкладку "Число" і введіть власний формат за допомогою коду формату.</w:t>
      </w:r>
    </w:p>
    <w:p>
      <w:pPr>
        <w:spacing w:before="0" w:after="160" w:line="259"/>
        <w:ind w:right="0" w:left="0" w:firstLine="0"/>
        <w:jc w:val="left"/>
        <w:rPr>
          <w:rFonts w:ascii="Arial" w:hAnsi="Arial" w:cs="Arial" w:eastAsia="Arial"/>
          <w:color w:val="auto"/>
          <w:spacing w:val="0"/>
          <w:position w:val="0"/>
          <w:sz w:val="22"/>
          <w:shd w:fill="auto" w:val="clear"/>
        </w:rPr>
      </w:pPr>
    </w:p>
    <w:p>
      <w:pPr>
        <w:numPr>
          <w:ilvl w:val="0"/>
          <w:numId w:val="47"/>
        </w:numPr>
        <w:spacing w:before="0" w:after="160" w:line="259"/>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Формули форматування: Ви можете використовувати формули форматування для встановлення умовного форматування чисел. Наприклад, ви можете встановити формат, щоб числа, які задовольняють певну умову, відображалися у певному стилі або кольорі. Це дає вам більшу гнучкість у визначенні, як числа повинні відображатися залежно від умови.</w:t>
      </w:r>
    </w:p>
    <w:p>
      <w:pPr>
        <w:spacing w:before="0" w:after="160" w:line="259"/>
        <w:ind w:right="0" w:left="720" w:firstLine="0"/>
        <w:jc w:val="left"/>
        <w:rPr>
          <w:rFonts w:ascii="Arial" w:hAnsi="Arial" w:cs="Arial" w:eastAsia="Arial"/>
          <w:color w:val="auto"/>
          <w:spacing w:val="0"/>
          <w:position w:val="0"/>
          <w:sz w:val="22"/>
          <w:shd w:fill="auto" w:val="clear"/>
        </w:rPr>
      </w:pPr>
    </w:p>
    <w:p>
      <w:pPr>
        <w:spacing w:before="0" w:after="160" w:line="259"/>
        <w:ind w:right="0" w:left="720" w:firstLine="0"/>
        <w:jc w:val="left"/>
        <w:rPr>
          <w:rFonts w:ascii="Arial" w:hAnsi="Arial" w:cs="Arial" w:eastAsia="Arial"/>
          <w:color w:val="auto"/>
          <w:spacing w:val="0"/>
          <w:position w:val="0"/>
          <w:sz w:val="22"/>
          <w:shd w:fill="auto" w:val="clear"/>
        </w:rPr>
      </w:pPr>
    </w:p>
    <w:p>
      <w:pPr>
        <w:spacing w:before="0" w:after="160" w:line="259"/>
        <w:ind w:right="0" w:left="720" w:firstLine="0"/>
        <w:jc w:val="left"/>
        <w:rPr>
          <w:rFonts w:ascii="Arial" w:hAnsi="Arial" w:cs="Arial" w:eastAsia="Arial"/>
          <w:color w:val="auto"/>
          <w:spacing w:val="0"/>
          <w:position w:val="0"/>
          <w:sz w:val="22"/>
          <w:shd w:fill="auto" w:val="clear"/>
        </w:rPr>
      </w:pPr>
    </w:p>
    <w:p>
      <w:pPr>
        <w:spacing w:before="0" w:after="160" w:line="259"/>
        <w:ind w:right="0" w:left="720" w:firstLine="0"/>
        <w:jc w:val="center"/>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Високий рівень</w:t>
      </w:r>
    </w:p>
    <w:p>
      <w:pPr>
        <w:spacing w:before="0" w:after="160" w:line="259"/>
        <w:ind w:right="0" w:left="720" w:firstLine="0"/>
        <w:jc w:val="left"/>
        <w:rPr>
          <w:rFonts w:ascii="Arial" w:hAnsi="Arial" w:cs="Arial" w:eastAsia="Arial"/>
          <w:b/>
          <w:color w:val="auto"/>
          <w:spacing w:val="0"/>
          <w:position w:val="0"/>
          <w:sz w:val="22"/>
          <w:shd w:fill="auto" w:val="clear"/>
        </w:rPr>
      </w:pPr>
    </w:p>
    <w:p>
      <w:pPr>
        <w:spacing w:before="0" w:after="160" w:line="259"/>
        <w:ind w:right="0" w:left="720" w:firstLine="0"/>
        <w:jc w:val="left"/>
        <w:rPr>
          <w:rFonts w:ascii="Arial" w:hAnsi="Arial" w:cs="Arial" w:eastAsia="Arial"/>
          <w:b/>
          <w:color w:val="auto"/>
          <w:spacing w:val="0"/>
          <w:position w:val="0"/>
          <w:sz w:val="22"/>
          <w:shd w:fill="auto" w:val="clear"/>
        </w:rPr>
      </w:pPr>
    </w:p>
    <w:p>
      <w:pPr>
        <w:spacing w:before="0" w:after="160" w:line="259"/>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w:t>
      </w:r>
      <w:r>
        <w:rPr>
          <w:rFonts w:ascii="Arial" w:hAnsi="Arial" w:cs="Arial" w:eastAsia="Arial"/>
          <w:color w:val="auto"/>
          <w:spacing w:val="0"/>
          <w:position w:val="0"/>
          <w:sz w:val="22"/>
          <w:shd w:fill="auto" w:val="clear"/>
        </w:rPr>
        <w:t xml:space="preserve">У чому суть автоматичного переобчислення в ЕТ?</w:t>
      </w:r>
    </w:p>
    <w:p>
      <w:pPr>
        <w:spacing w:before="0" w:after="160" w:line="259"/>
        <w:ind w:right="0" w:left="1416"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Автоматичне переобчислення в електронних таблицях (ЕТ) відноситься до функціональності, за допомогою якої ЕТ автоматично перераховує значення формул та оновлює результати, якщо вхідні дані змінюються.</w:t>
      </w:r>
    </w:p>
    <w:p>
      <w:pPr>
        <w:spacing w:before="0" w:after="160" w:line="259"/>
        <w:ind w:right="0" w:left="1416" w:firstLine="0"/>
        <w:jc w:val="left"/>
        <w:rPr>
          <w:rFonts w:ascii="Arial" w:hAnsi="Arial" w:cs="Arial" w:eastAsia="Arial"/>
          <w:color w:val="auto"/>
          <w:spacing w:val="0"/>
          <w:position w:val="0"/>
          <w:sz w:val="22"/>
          <w:shd w:fill="auto" w:val="clear"/>
        </w:rPr>
      </w:pPr>
    </w:p>
    <w:p>
      <w:pPr>
        <w:spacing w:before="0" w:after="160" w:line="259"/>
        <w:ind w:right="0" w:left="1416"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Основна суть автоматичного переобчислення полягає в тому, що коли ви вводите формули в клітинках ЕТ, вона автоматично виконує обчислення, використовуючи значення з вихідних клітинок. Якщо значення вихідних клітинок змінюються, ЕТ автоматично перераховує формули та оновлює результати відповідних клітинок.</w:t>
      </w:r>
    </w:p>
    <w:p>
      <w:pPr>
        <w:spacing w:before="0" w:after="160" w:line="259"/>
        <w:ind w:right="0" w:left="1416" w:firstLine="0"/>
        <w:jc w:val="left"/>
        <w:rPr>
          <w:rFonts w:ascii="Arial" w:hAnsi="Arial" w:cs="Arial" w:eastAsia="Arial"/>
          <w:color w:val="auto"/>
          <w:spacing w:val="0"/>
          <w:position w:val="0"/>
          <w:sz w:val="22"/>
          <w:shd w:fill="auto" w:val="clear"/>
        </w:rPr>
      </w:pPr>
    </w:p>
    <w:p>
      <w:pPr>
        <w:spacing w:before="0" w:after="160" w:line="259"/>
        <w:ind w:right="0" w:left="1416"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Це дуже зручна функція, оскільки вона дозволяє швидко оновлювати результати без необхідності вручну перераховувати формули. Коли ви вносите зміни в дані, ЕТ автоматично оновлює весь залежний розрахунок, що допомагає підтримувати точність та актуальність даних у вашій таблиці.</w:t>
      </w:r>
    </w:p>
    <w:p>
      <w:pPr>
        <w:spacing w:before="0" w:after="160" w:line="259"/>
        <w:ind w:right="0" w:left="1416" w:firstLine="0"/>
        <w:jc w:val="left"/>
        <w:rPr>
          <w:rFonts w:ascii="Arial" w:hAnsi="Arial" w:cs="Arial" w:eastAsia="Arial"/>
          <w:color w:val="auto"/>
          <w:spacing w:val="0"/>
          <w:position w:val="0"/>
          <w:sz w:val="22"/>
          <w:shd w:fill="auto" w:val="clear"/>
        </w:rPr>
      </w:pPr>
    </w:p>
    <w:p>
      <w:pPr>
        <w:spacing w:before="0" w:after="160" w:line="259"/>
        <w:ind w:right="0" w:left="1416" w:firstLine="0"/>
        <w:jc w:val="left"/>
        <w:rPr>
          <w:rFonts w:ascii="Arial" w:hAnsi="Arial" w:cs="Arial" w:eastAsia="Arial"/>
          <w:color w:val="auto"/>
          <w:spacing w:val="0"/>
          <w:position w:val="0"/>
          <w:sz w:val="22"/>
          <w:shd w:fill="auto" w:val="clear"/>
        </w:rPr>
      </w:pPr>
    </w:p>
    <w:p>
      <w:pPr>
        <w:spacing w:before="0" w:after="160" w:line="259"/>
        <w:ind w:right="0" w:left="1416"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w:t>
      </w:r>
      <w:r>
        <w:rPr>
          <w:rFonts w:ascii="Arial" w:hAnsi="Arial" w:cs="Arial" w:eastAsia="Arial"/>
          <w:color w:val="auto"/>
          <w:spacing w:val="0"/>
          <w:position w:val="0"/>
          <w:sz w:val="22"/>
          <w:shd w:fill="auto" w:val="clear"/>
        </w:rPr>
        <w:t xml:space="preserve">Для чого використовують точкові діаграми?</w:t>
      </w:r>
    </w:p>
    <w:p>
      <w:pPr>
        <w:spacing w:before="0" w:after="160" w:line="259"/>
        <w:ind w:right="0" w:left="2124"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Точкові діаграми використовуються для візуалізації та аналізу залежності між двома неперервними змінними. Вони дозволяють показати розподіл точок на графіку, де кожна точка представляє значення двох змінних для одного спостереження або об'єкта.</w:t>
      </w:r>
    </w:p>
    <w:p>
      <w:pPr>
        <w:spacing w:before="0" w:after="160" w:line="259"/>
        <w:ind w:right="0" w:left="2124" w:firstLine="0"/>
        <w:jc w:val="left"/>
        <w:rPr>
          <w:rFonts w:ascii="Arial" w:hAnsi="Arial" w:cs="Arial" w:eastAsia="Arial"/>
          <w:color w:val="auto"/>
          <w:spacing w:val="0"/>
          <w:position w:val="0"/>
          <w:sz w:val="22"/>
          <w:shd w:fill="auto" w:val="clear"/>
        </w:rPr>
      </w:pPr>
    </w:p>
    <w:p>
      <w:pPr>
        <w:spacing w:before="0" w:after="160" w:line="259"/>
        <w:ind w:right="0" w:left="2124"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Основна мета використання точкових діаграм - виявити наявність або відсутність взаємозв'язку між двома змінними. За допомогою точкових діаграм можна встановити, чи існує лінійна, нелинійна або жодна залежність між змінними.</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num w:numId="12">
    <w:abstractNumId w:val="84"/>
  </w:num>
  <w:num w:numId="15">
    <w:abstractNumId w:val="78"/>
  </w:num>
  <w:num w:numId="17">
    <w:abstractNumId w:val="72"/>
  </w:num>
  <w:num w:numId="19">
    <w:abstractNumId w:val="66"/>
  </w:num>
  <w:num w:numId="21">
    <w:abstractNumId w:val="60"/>
  </w:num>
  <w:num w:numId="23">
    <w:abstractNumId w:val="54"/>
  </w:num>
  <w:num w:numId="25">
    <w:abstractNumId w:val="48"/>
  </w:num>
  <w:num w:numId="27">
    <w:abstractNumId w:val="42"/>
  </w:num>
  <w:num w:numId="30">
    <w:abstractNumId w:val="36"/>
  </w:num>
  <w:num w:numId="33">
    <w:abstractNumId w:val="30"/>
  </w:num>
  <w:num w:numId="36">
    <w:abstractNumId w:val="24"/>
  </w:num>
  <w:num w:numId="38">
    <w:abstractNumId w:val="18"/>
  </w:num>
  <w:num w:numId="43">
    <w:abstractNumId w:val="12"/>
  </w:num>
  <w:num w:numId="45">
    <w:abstractNumId w:val="6"/>
  </w:num>
  <w:num w:numId="4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