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AAF79" w14:textId="7E284A8F" w:rsidR="00A31EF8" w:rsidRDefault="00A31EF8" w:rsidP="00A31EF8">
      <w:pPr>
        <w:rPr>
          <w:b/>
          <w:bCs/>
        </w:rPr>
      </w:pPr>
      <w:r w:rsidRPr="00A31EF8">
        <w:rPr>
          <w:b/>
          <w:bCs/>
        </w:rPr>
        <w:t>Data Visualization</w:t>
      </w:r>
      <w:r w:rsidR="005325B6">
        <w:rPr>
          <w:b/>
          <w:bCs/>
        </w:rPr>
        <w:br/>
      </w:r>
      <w:r w:rsidRPr="00A31EF8">
        <w:rPr>
          <w:b/>
          <w:bCs/>
        </w:rPr>
        <w:t>140.610.79</w:t>
      </w:r>
      <w:r>
        <w:rPr>
          <w:b/>
          <w:bCs/>
        </w:rPr>
        <w:t xml:space="preserve">, </w:t>
      </w:r>
      <w:r w:rsidRPr="00A31EF8">
        <w:rPr>
          <w:b/>
          <w:bCs/>
        </w:rPr>
        <w:t>Summer Inst. Term</w:t>
      </w:r>
      <w:r>
        <w:rPr>
          <w:b/>
          <w:bCs/>
        </w:rPr>
        <w:t>,</w:t>
      </w:r>
      <w:r w:rsidRPr="00A31EF8">
        <w:rPr>
          <w:b/>
          <w:bCs/>
        </w:rPr>
        <w:t xml:space="preserve"> </w:t>
      </w:r>
      <w:r>
        <w:rPr>
          <w:b/>
          <w:bCs/>
        </w:rPr>
        <w:t>1</w:t>
      </w:r>
      <w:r w:rsidRPr="00A31EF8">
        <w:rPr>
          <w:b/>
          <w:bCs/>
        </w:rPr>
        <w:t xml:space="preserve"> Credit</w:t>
      </w:r>
    </w:p>
    <w:p w14:paraId="5B5161C2" w14:textId="7BD0E510" w:rsidR="00E05DEB" w:rsidRDefault="000B1B2E" w:rsidP="00A31EF8">
      <w:pPr>
        <w:rPr>
          <w:b/>
          <w:bCs/>
        </w:rPr>
      </w:pPr>
      <w:r w:rsidRPr="000B1B2E">
        <w:rPr>
          <w:i/>
          <w:iCs/>
        </w:rPr>
        <w:t>Last updated June 6, 2025</w:t>
      </w:r>
      <w:r w:rsidRPr="000B1B2E">
        <w:rPr>
          <w:i/>
          <w:iCs/>
        </w:rPr>
        <w:br/>
      </w:r>
      <w:r w:rsidR="00A31EF8">
        <w:rPr>
          <w:b/>
          <w:bCs/>
        </w:rPr>
        <w:br/>
      </w:r>
      <w:r w:rsidR="00A31EF8" w:rsidRPr="00A31EF8">
        <w:rPr>
          <w:b/>
          <w:bCs/>
        </w:rPr>
        <w:t>Instructor</w:t>
      </w:r>
    </w:p>
    <w:p w14:paraId="30B9EA10" w14:textId="5C203BE5" w:rsidR="00A31EF8" w:rsidRDefault="00A31EF8" w:rsidP="00A31EF8">
      <w:r>
        <w:t>Erik Westlund, PhD</w:t>
      </w:r>
      <w:r>
        <w:br/>
        <w:t>Department of Biostatistics</w:t>
      </w:r>
      <w:r>
        <w:br/>
        <w:t>Johns Hopkins Bloomberg School of Public Health</w:t>
      </w:r>
      <w:r>
        <w:br/>
      </w:r>
      <w:hyperlink r:id="rId7" w:history="1">
        <w:r w:rsidRPr="0058388E">
          <w:rPr>
            <w:rStyle w:val="Hyperlink"/>
          </w:rPr>
          <w:t>ewestlund@jhu.edu</w:t>
        </w:r>
      </w:hyperlink>
      <w:r>
        <w:br/>
      </w:r>
    </w:p>
    <w:p w14:paraId="263B5F5C" w14:textId="096B6643" w:rsidR="00E05DEB" w:rsidRDefault="00A31EF8" w:rsidP="00A31EF8">
      <w:pPr>
        <w:rPr>
          <w:b/>
          <w:bCs/>
        </w:rPr>
      </w:pPr>
      <w:r>
        <w:rPr>
          <w:b/>
          <w:bCs/>
        </w:rPr>
        <w:t>Course Website</w:t>
      </w:r>
      <w:r w:rsidR="00DF1894">
        <w:rPr>
          <w:b/>
          <w:bCs/>
        </w:rPr>
        <w:t>s</w:t>
      </w:r>
    </w:p>
    <w:p w14:paraId="1B9108F0" w14:textId="27AA18D5" w:rsidR="00DF1894" w:rsidRPr="00DF1894" w:rsidRDefault="00DF1894" w:rsidP="00DF1894">
      <w:pPr>
        <w:pStyle w:val="ListParagraph"/>
        <w:numPr>
          <w:ilvl w:val="0"/>
          <w:numId w:val="10"/>
        </w:numPr>
        <w:rPr>
          <w:b/>
          <w:bCs/>
        </w:rPr>
      </w:pPr>
      <w:r w:rsidRPr="00DF1894">
        <w:rPr>
          <w:b/>
          <w:bCs/>
        </w:rPr>
        <w:t>Git</w:t>
      </w:r>
      <w:r>
        <w:rPr>
          <w:b/>
          <w:bCs/>
        </w:rPr>
        <w:t>H</w:t>
      </w:r>
      <w:r w:rsidRPr="00DF1894">
        <w:rPr>
          <w:b/>
          <w:bCs/>
        </w:rPr>
        <w:t>ub</w:t>
      </w:r>
      <w:r>
        <w:rPr>
          <w:b/>
          <w:bCs/>
        </w:rPr>
        <w:t xml:space="preserve">: </w:t>
      </w:r>
      <w:hyperlink r:id="rId8" w:history="1">
        <w:r w:rsidRPr="0058388E">
          <w:rPr>
            <w:rStyle w:val="Hyperlink"/>
          </w:rPr>
          <w:t>https://github.com/erikwestlund/data-viz-summer-25</w:t>
        </w:r>
      </w:hyperlink>
    </w:p>
    <w:p w14:paraId="0D2428CF" w14:textId="6AD051AA" w:rsidR="00A31EF8" w:rsidRDefault="00DF1894" w:rsidP="00A31EF8">
      <w:pPr>
        <w:pStyle w:val="ListParagraph"/>
        <w:numPr>
          <w:ilvl w:val="0"/>
          <w:numId w:val="10"/>
        </w:numPr>
      </w:pPr>
      <w:proofErr w:type="spellStart"/>
      <w:r w:rsidRPr="00DF1894">
        <w:rPr>
          <w:b/>
          <w:bCs/>
        </w:rPr>
        <w:t>CoursePlus</w:t>
      </w:r>
      <w:proofErr w:type="spellEnd"/>
      <w:r w:rsidRPr="00DF1894">
        <w:rPr>
          <w:b/>
          <w:bCs/>
        </w:rPr>
        <w:t>:</w:t>
      </w:r>
      <w:r>
        <w:rPr>
          <w:b/>
          <w:bCs/>
        </w:rPr>
        <w:t xml:space="preserve"> </w:t>
      </w:r>
      <w:hyperlink r:id="rId9" w:history="1">
        <w:r w:rsidR="00A31EF8" w:rsidRPr="0058388E">
          <w:rPr>
            <w:rStyle w:val="Hyperlink"/>
          </w:rPr>
          <w:t>https://courseplus.jhu.edu/core/index.cfm/go/course.home/coid/23902/</w:t>
        </w:r>
      </w:hyperlink>
    </w:p>
    <w:p w14:paraId="0BB80777" w14:textId="77777777" w:rsidR="00E05DEB" w:rsidRDefault="00A31EF8" w:rsidP="00A31EF8">
      <w:pPr>
        <w:rPr>
          <w:b/>
          <w:bCs/>
        </w:rPr>
      </w:pPr>
      <w:r>
        <w:br/>
      </w:r>
      <w:r>
        <w:rPr>
          <w:b/>
          <w:bCs/>
        </w:rPr>
        <w:t>Course Description</w:t>
      </w:r>
    </w:p>
    <w:p w14:paraId="1EC54487" w14:textId="0E9881CB" w:rsidR="00A31EF8" w:rsidRPr="00A31EF8" w:rsidRDefault="00A31EF8" w:rsidP="00A31EF8">
      <w:r w:rsidRPr="00A31EF8">
        <w:t>This course introduces students to the foundational principles and practical skills of data visualization, with a focus on enhancing the clarity and impact of statistical communication.</w:t>
      </w:r>
    </w:p>
    <w:p w14:paraId="633C4612" w14:textId="1DD9E108" w:rsidR="00A31EF8" w:rsidRPr="00A31EF8" w:rsidRDefault="00A31EF8" w:rsidP="00A31EF8">
      <w:r w:rsidRPr="00A31EF8">
        <w:t>The course emphasizes visualization as a critical tool for statistical reasoning, model interpretation, and scientific communication. Students will learn to design and evaluate visualizations that are accurate, clear, and audience-appropriate. Topics include common pitfalls in data presentation, best practices for visual storytelling, and the role of graphics in conveying complex analytical insights.</w:t>
      </w:r>
    </w:p>
    <w:p w14:paraId="678BBCBB" w14:textId="487A103E" w:rsidR="00A31EF8" w:rsidRDefault="00A31EF8" w:rsidP="00A31EF8">
      <w:r w:rsidRPr="00A31EF8">
        <w:t xml:space="preserve">Hands-on exercises will focus primarily on R, using ggplot2 and the </w:t>
      </w:r>
      <w:proofErr w:type="spellStart"/>
      <w:r w:rsidRPr="00734D9F">
        <w:rPr>
          <w:i/>
          <w:iCs/>
        </w:rPr>
        <w:t>tidyverse</w:t>
      </w:r>
      <w:proofErr w:type="spellEnd"/>
      <w:r w:rsidRPr="00A31EF8">
        <w:t xml:space="preserve">, with supplementary coverage of Python, Stata, and tools for interactive dashboards. </w:t>
      </w:r>
      <w:r>
        <w:br/>
      </w:r>
    </w:p>
    <w:p w14:paraId="616AD789" w14:textId="77777777" w:rsidR="00A31EF8" w:rsidRDefault="00A31EF8" w:rsidP="00A31EF8">
      <w:pPr>
        <w:rPr>
          <w:b/>
          <w:bCs/>
        </w:rPr>
      </w:pPr>
      <w:r>
        <w:rPr>
          <w:b/>
          <w:bCs/>
        </w:rPr>
        <w:t>Course Learning Objectives</w:t>
      </w:r>
    </w:p>
    <w:p w14:paraId="4461F0CC" w14:textId="6AF55FCA" w:rsidR="00A31EF8" w:rsidRDefault="00A31EF8" w:rsidP="00A31EF8">
      <w:pPr>
        <w:pStyle w:val="ListParagraph"/>
        <w:numPr>
          <w:ilvl w:val="0"/>
          <w:numId w:val="1"/>
        </w:numPr>
      </w:pPr>
      <w:r>
        <w:t>Conceptualize and implement effective data visualizations using R and ggplot2.</w:t>
      </w:r>
    </w:p>
    <w:p w14:paraId="7C5FAC94" w14:textId="77777777" w:rsidR="00A31EF8" w:rsidRDefault="00A31EF8" w:rsidP="00A31EF8">
      <w:pPr>
        <w:pStyle w:val="ListParagraph"/>
        <w:numPr>
          <w:ilvl w:val="0"/>
          <w:numId w:val="1"/>
        </w:numPr>
      </w:pPr>
      <w:r>
        <w:t>Select appropriate visualization techniques based on data type, analytical goals, and audience needs.</w:t>
      </w:r>
    </w:p>
    <w:p w14:paraId="7D6CAE3C" w14:textId="77777777" w:rsidR="00A31EF8" w:rsidRDefault="00A31EF8" w:rsidP="00A31EF8">
      <w:pPr>
        <w:pStyle w:val="ListParagraph"/>
        <w:numPr>
          <w:ilvl w:val="0"/>
          <w:numId w:val="1"/>
        </w:numPr>
      </w:pPr>
      <w:r>
        <w:t>Critically evaluate data visualizations for effectiveness and accuracy.</w:t>
      </w:r>
    </w:p>
    <w:p w14:paraId="4D653965" w14:textId="77777777" w:rsidR="00A31EF8" w:rsidRDefault="00A31EF8" w:rsidP="00A31EF8">
      <w:pPr>
        <w:pStyle w:val="ListParagraph"/>
        <w:numPr>
          <w:ilvl w:val="0"/>
          <w:numId w:val="1"/>
        </w:numPr>
      </w:pPr>
      <w:r>
        <w:t>Communicate complex data insights through clear and impactful storytelling.</w:t>
      </w:r>
    </w:p>
    <w:p w14:paraId="3F57AC70" w14:textId="77777777" w:rsidR="00A31EF8" w:rsidRDefault="00A31EF8" w:rsidP="00A31EF8">
      <w:pPr>
        <w:pStyle w:val="ListParagraph"/>
        <w:numPr>
          <w:ilvl w:val="0"/>
          <w:numId w:val="1"/>
        </w:numPr>
      </w:pPr>
      <w:r>
        <w:lastRenderedPageBreak/>
        <w:t>Incorporate reproducibility and transparency into the data visualization process using modern coding practices.</w:t>
      </w:r>
    </w:p>
    <w:p w14:paraId="217F08E0" w14:textId="77777777" w:rsidR="00A31EF8" w:rsidRDefault="00A31EF8" w:rsidP="00A31EF8">
      <w:pPr>
        <w:pStyle w:val="ListParagraph"/>
        <w:numPr>
          <w:ilvl w:val="0"/>
          <w:numId w:val="1"/>
        </w:numPr>
      </w:pPr>
      <w:r>
        <w:t>Address common challenges and pitfalls in data visualization, including choosing incorrect statistical transformations, misleading uses of scale and range, and poor design.</w:t>
      </w:r>
    </w:p>
    <w:p w14:paraId="617E90FB" w14:textId="3910169F" w:rsidR="00E05DEB" w:rsidRDefault="00A31EF8" w:rsidP="00E05DEB">
      <w:pPr>
        <w:pStyle w:val="ListParagraph"/>
        <w:numPr>
          <w:ilvl w:val="0"/>
          <w:numId w:val="1"/>
        </w:numPr>
      </w:pPr>
      <w:r>
        <w:t>Integrate visualizations into workflows for statistical modeling and applied data science.</w:t>
      </w:r>
      <w:r>
        <w:br/>
      </w:r>
    </w:p>
    <w:p w14:paraId="1AD8BA92" w14:textId="77777777" w:rsidR="00E05DEB" w:rsidRDefault="00A31EF8" w:rsidP="00A31EF8">
      <w:pPr>
        <w:rPr>
          <w:b/>
          <w:bCs/>
        </w:rPr>
      </w:pPr>
      <w:r>
        <w:rPr>
          <w:b/>
          <w:bCs/>
        </w:rPr>
        <w:t>Intended Audienc</w:t>
      </w:r>
      <w:r w:rsidR="00E05DEB">
        <w:rPr>
          <w:b/>
          <w:bCs/>
        </w:rPr>
        <w:t>e</w:t>
      </w:r>
    </w:p>
    <w:p w14:paraId="7273C91A" w14:textId="077A4431" w:rsidR="00A31EF8" w:rsidRPr="00E05DEB" w:rsidRDefault="00A31EF8" w:rsidP="00A31EF8">
      <w:pPr>
        <w:rPr>
          <w:b/>
          <w:bCs/>
        </w:rPr>
      </w:pPr>
      <w:r w:rsidRPr="00A31EF8">
        <w:t>Students in public health, biostatistics, data science, or related fields.</w:t>
      </w:r>
    </w:p>
    <w:p w14:paraId="33F4FF6D" w14:textId="77777777" w:rsidR="00A31EF8" w:rsidRDefault="00A31EF8" w:rsidP="00A31EF8">
      <w:pPr>
        <w:rPr>
          <w:b/>
          <w:bCs/>
        </w:rPr>
      </w:pPr>
      <w:r>
        <w:br/>
      </w:r>
      <w:r w:rsidRPr="00A31EF8">
        <w:rPr>
          <w:b/>
          <w:bCs/>
        </w:rPr>
        <w:t>Prerequisites</w:t>
      </w:r>
    </w:p>
    <w:p w14:paraId="5EA93AEE" w14:textId="42FE8B96" w:rsidR="00A31EF8" w:rsidRDefault="00A31EF8" w:rsidP="00A31EF8">
      <w:pPr>
        <w:pStyle w:val="ListParagraph"/>
        <w:numPr>
          <w:ilvl w:val="0"/>
          <w:numId w:val="2"/>
        </w:numPr>
      </w:pPr>
      <w:r w:rsidRPr="00A31EF8">
        <w:t>Experience with elementary statistics and linear modeling</w:t>
      </w:r>
    </w:p>
    <w:p w14:paraId="6E7FD0F7" w14:textId="2849B3DE" w:rsidR="00A31EF8" w:rsidRPr="00894344" w:rsidRDefault="00A31EF8" w:rsidP="00A31EF8">
      <w:pPr>
        <w:pStyle w:val="ListParagraph"/>
        <w:numPr>
          <w:ilvl w:val="0"/>
          <w:numId w:val="2"/>
        </w:numPr>
        <w:rPr>
          <w:b/>
          <w:bCs/>
        </w:rPr>
      </w:pPr>
      <w:r>
        <w:t>B</w:t>
      </w:r>
      <w:r w:rsidRPr="00A31EF8">
        <w:t>asic familiarity with R and RStudio.</w:t>
      </w:r>
      <w:r w:rsidR="00894344">
        <w:br/>
      </w:r>
    </w:p>
    <w:p w14:paraId="48940B38" w14:textId="77777777" w:rsidR="00E05DEB" w:rsidRDefault="00A31EF8" w:rsidP="00A31EF8">
      <w:pPr>
        <w:rPr>
          <w:b/>
          <w:bCs/>
        </w:rPr>
      </w:pPr>
      <w:r w:rsidRPr="00A31EF8">
        <w:rPr>
          <w:b/>
          <w:bCs/>
        </w:rPr>
        <w:t>Course Schedule</w:t>
      </w:r>
    </w:p>
    <w:p w14:paraId="683A9D58" w14:textId="0A5A184A" w:rsidR="00894344" w:rsidRDefault="00B15437" w:rsidP="00A31EF8">
      <w:r w:rsidRPr="00B15437">
        <w:t xml:space="preserve">Please see the course </w:t>
      </w:r>
      <w:r>
        <w:t>website</w:t>
      </w:r>
      <w:r w:rsidRPr="00B15437">
        <w:t xml:space="preserve"> for a </w:t>
      </w:r>
      <w:r>
        <w:t>comprehensive schedule and list of activities.</w:t>
      </w:r>
      <w:r>
        <w:br/>
      </w:r>
      <w:r w:rsidR="00894344">
        <w:br/>
      </w:r>
      <w:r w:rsidR="00894344" w:rsidRPr="00894344">
        <w:rPr>
          <w:b/>
          <w:bCs/>
        </w:rPr>
        <w:t xml:space="preserve">Course </w:t>
      </w:r>
      <w:r w:rsidR="00E05DEB">
        <w:rPr>
          <w:b/>
          <w:bCs/>
        </w:rPr>
        <w:t>Book</w:t>
      </w:r>
    </w:p>
    <w:p w14:paraId="5786CAD4" w14:textId="212BB1F8" w:rsidR="00A31EF8" w:rsidRDefault="00894344" w:rsidP="00A31EF8">
      <w:r>
        <w:t xml:space="preserve">We will use Kieran Healy’s </w:t>
      </w:r>
      <w:r w:rsidR="00C619EC">
        <w:rPr>
          <w:i/>
          <w:iCs/>
        </w:rPr>
        <w:t>Data Visualization</w:t>
      </w:r>
      <w:r w:rsidR="00C619EC">
        <w:t xml:space="preserve"> as a course text. It is available for free online: </w:t>
      </w:r>
      <w:hyperlink r:id="rId10" w:history="1">
        <w:r w:rsidR="00C619EC" w:rsidRPr="0058388E">
          <w:rPr>
            <w:rStyle w:val="Hyperlink"/>
          </w:rPr>
          <w:t>https://socviz.co/</w:t>
        </w:r>
      </w:hyperlink>
      <w:r w:rsidR="001E2278">
        <w:t xml:space="preserve">. </w:t>
      </w:r>
      <w:r w:rsidR="00C619EC">
        <w:t>You can purchase a physical copy on Amazo</w:t>
      </w:r>
      <w:r w:rsidR="001E2278">
        <w:t>n if you wish.</w:t>
      </w:r>
      <w:r>
        <w:br/>
      </w:r>
    </w:p>
    <w:p w14:paraId="71C5BCBE" w14:textId="77777777" w:rsidR="00B15437" w:rsidRDefault="00B15437" w:rsidP="00B15437">
      <w:pPr>
        <w:rPr>
          <w:b/>
          <w:bCs/>
        </w:rPr>
      </w:pPr>
      <w:r w:rsidRPr="00B15437">
        <w:rPr>
          <w:b/>
          <w:bCs/>
        </w:rPr>
        <w:t>Methods of Assessment</w:t>
      </w:r>
    </w:p>
    <w:p w14:paraId="7DA6E757" w14:textId="5D29BDBC" w:rsidR="00B15437" w:rsidRDefault="00B15437" w:rsidP="00B15437">
      <w:pPr>
        <w:pStyle w:val="ListParagraph"/>
        <w:numPr>
          <w:ilvl w:val="0"/>
          <w:numId w:val="3"/>
        </w:numPr>
      </w:pPr>
      <w:r w:rsidRPr="00B15437">
        <w:rPr>
          <w:u w:val="single"/>
        </w:rPr>
        <w:t>Participation: 20%</w:t>
      </w:r>
      <w:r w:rsidRPr="00B15437">
        <w:rPr>
          <w:u w:val="single"/>
        </w:rPr>
        <w:br/>
      </w:r>
      <w:r w:rsidRPr="00B15437">
        <w:t>Students are expected to attend all sessions via Zoom and engage actively by asking questions</w:t>
      </w:r>
      <w:r>
        <w:t xml:space="preserve"> and participating in discussions.</w:t>
      </w:r>
      <w:r>
        <w:br/>
      </w:r>
    </w:p>
    <w:p w14:paraId="41F22EE8" w14:textId="5F553A82" w:rsidR="00B15437" w:rsidRDefault="00B15437" w:rsidP="00B15437">
      <w:pPr>
        <w:pStyle w:val="ListParagraph"/>
        <w:numPr>
          <w:ilvl w:val="0"/>
          <w:numId w:val="3"/>
        </w:numPr>
      </w:pPr>
      <w:r w:rsidRPr="00B15437">
        <w:rPr>
          <w:u w:val="single"/>
        </w:rPr>
        <w:t>Problem sets: 30%</w:t>
      </w:r>
      <w:r>
        <w:br/>
      </w:r>
      <w:r w:rsidRPr="00B15437">
        <w:t>There will be three brief problem sets—one assigned each day—designed to reinforce key concepts and techniques.</w:t>
      </w:r>
      <w:r>
        <w:br/>
      </w:r>
    </w:p>
    <w:p w14:paraId="48F9E988" w14:textId="72B34149" w:rsidR="00B15437" w:rsidRDefault="00B15437" w:rsidP="00B15437">
      <w:pPr>
        <w:pStyle w:val="ListParagraph"/>
        <w:numPr>
          <w:ilvl w:val="0"/>
          <w:numId w:val="3"/>
        </w:numPr>
        <w:rPr>
          <w:u w:val="single"/>
        </w:rPr>
      </w:pPr>
      <w:r w:rsidRPr="00B15437">
        <w:rPr>
          <w:u w:val="single"/>
        </w:rPr>
        <w:t>Final Project: 50%</w:t>
      </w:r>
      <w:r w:rsidRPr="00B15437">
        <w:rPr>
          <w:u w:val="single"/>
        </w:rPr>
        <w:br/>
      </w:r>
      <w:r w:rsidRPr="00B15437">
        <w:t>Students will submit a scientific notebook</w:t>
      </w:r>
      <w:r>
        <w:t xml:space="preserve"> (e.g., Quarto, </w:t>
      </w:r>
      <w:proofErr w:type="spellStart"/>
      <w:r>
        <w:t>Rmarkdown</w:t>
      </w:r>
      <w:proofErr w:type="spellEnd"/>
      <w:r>
        <w:t xml:space="preserve">, </w:t>
      </w:r>
      <w:proofErr w:type="spellStart"/>
      <w:r>
        <w:t>Jupyter</w:t>
      </w:r>
      <w:proofErr w:type="spellEnd"/>
      <w:r>
        <w:t>)</w:t>
      </w:r>
      <w:r w:rsidRPr="00B15437">
        <w:t xml:space="preserve"> that </w:t>
      </w:r>
      <w:r w:rsidRPr="00B15437">
        <w:lastRenderedPageBreak/>
        <w:t>presents a comprehensive visualization of a dataset, ideally one relevant to their work; full project guidelines are available on the course website</w:t>
      </w:r>
      <w:r w:rsidRPr="00B15437">
        <w:rPr>
          <w:u w:val="single"/>
        </w:rPr>
        <w:br/>
      </w:r>
    </w:p>
    <w:p w14:paraId="2A1620A9" w14:textId="77777777" w:rsidR="00E05DEB" w:rsidRDefault="00E05DEB" w:rsidP="00CB6643">
      <w:pPr>
        <w:pStyle w:val="ListParagraph"/>
        <w:ind w:left="0"/>
        <w:rPr>
          <w:b/>
          <w:bCs/>
        </w:rPr>
      </w:pPr>
    </w:p>
    <w:p w14:paraId="069B3F00" w14:textId="77777777" w:rsidR="00AB0491" w:rsidRDefault="00AB0491" w:rsidP="00AB0491">
      <w:pPr>
        <w:rPr>
          <w:b/>
          <w:bCs/>
        </w:rPr>
      </w:pPr>
      <w:r w:rsidRPr="00AB0491">
        <w:rPr>
          <w:b/>
          <w:bCs/>
        </w:rPr>
        <w:t>Course Evaluation</w:t>
      </w:r>
    </w:p>
    <w:p w14:paraId="11D6DBF8" w14:textId="49292BD0" w:rsidR="00AB0491" w:rsidRDefault="000958E2" w:rsidP="00CB6643">
      <w:pPr>
        <w:pStyle w:val="ListParagraph"/>
        <w:ind w:left="0"/>
        <w:rPr>
          <w:b/>
          <w:bCs/>
        </w:rPr>
      </w:pPr>
      <w:r>
        <w:t xml:space="preserve">Course evaluations help improve the quality of this course as it develops over time. </w:t>
      </w:r>
      <w:r w:rsidR="00AB0491">
        <w:t xml:space="preserve">The </w:t>
      </w:r>
      <w:r>
        <w:t>School of Public Health aims for a 100% course evaluation rate. Information on how to do so will be provided in class</w:t>
      </w:r>
    </w:p>
    <w:p w14:paraId="6ADEDE28" w14:textId="77777777" w:rsidR="00AB0491" w:rsidRPr="00AB0491" w:rsidRDefault="00AB0491" w:rsidP="00CB6643">
      <w:pPr>
        <w:pStyle w:val="ListParagraph"/>
        <w:ind w:left="0"/>
        <w:rPr>
          <w:b/>
          <w:bCs/>
        </w:rPr>
      </w:pPr>
    </w:p>
    <w:p w14:paraId="306296CE" w14:textId="323BA074" w:rsidR="00E05DEB" w:rsidRDefault="00E05DEB" w:rsidP="00E05DEB">
      <w:pPr>
        <w:rPr>
          <w:b/>
          <w:bCs/>
        </w:rPr>
      </w:pPr>
      <w:r w:rsidRPr="00E05DEB">
        <w:rPr>
          <w:b/>
          <w:bCs/>
        </w:rPr>
        <w:t>Generative AI and Code Assistants</w:t>
      </w:r>
    </w:p>
    <w:p w14:paraId="4DF31006" w14:textId="3748B1A0" w:rsidR="00CB6643" w:rsidRPr="00E05DEB" w:rsidRDefault="00C37B1D" w:rsidP="00CB6643">
      <w:pPr>
        <w:pStyle w:val="ListParagraph"/>
        <w:ind w:left="0"/>
        <w:rPr>
          <w:b/>
          <w:bCs/>
        </w:rPr>
      </w:pPr>
      <w:r>
        <w:t xml:space="preserve">Using AI tools for visualization is common and will be a </w:t>
      </w:r>
      <w:r w:rsidR="00457949">
        <w:t xml:space="preserve">core topic in this course. </w:t>
      </w:r>
      <w:r w:rsidR="00CB6643">
        <w:t xml:space="preserve">Use of these tools is </w:t>
      </w:r>
      <w:r w:rsidR="00457949">
        <w:t xml:space="preserve">thus </w:t>
      </w:r>
      <w:r w:rsidR="00CB6643">
        <w:t>permitted</w:t>
      </w:r>
      <w:r>
        <w:t xml:space="preserve"> </w:t>
      </w:r>
      <w:r w:rsidR="000761B3">
        <w:t>and, in some circumstances,</w:t>
      </w:r>
      <w:r>
        <w:t xml:space="preserve"> encouraged</w:t>
      </w:r>
      <w:r w:rsidR="00CB6643">
        <w:t xml:space="preserve">. </w:t>
      </w:r>
      <w:r w:rsidR="00457949" w:rsidRPr="00457949">
        <w:rPr>
          <w:u w:val="single"/>
        </w:rPr>
        <w:t xml:space="preserve">It </w:t>
      </w:r>
      <w:r w:rsidR="00734D9F">
        <w:rPr>
          <w:u w:val="single"/>
        </w:rPr>
        <w:t xml:space="preserve">is </w:t>
      </w:r>
      <w:r w:rsidR="00457949" w:rsidRPr="00457949">
        <w:rPr>
          <w:u w:val="single"/>
        </w:rPr>
        <w:t xml:space="preserve">nevertheless </w:t>
      </w:r>
      <w:r w:rsidR="001640DD">
        <w:rPr>
          <w:u w:val="single"/>
        </w:rPr>
        <w:t>the responsibility of the</w:t>
      </w:r>
      <w:r w:rsidRPr="00457949">
        <w:rPr>
          <w:u w:val="single"/>
        </w:rPr>
        <w:t xml:space="preserve"> student to understand the output of these tools and ensure their correctness</w:t>
      </w:r>
      <w:r>
        <w:t>.</w:t>
      </w:r>
      <w:r w:rsidR="000761B3">
        <w:t xml:space="preserve"> Students are strongly encouraged to approach these tools as learning aids and not crutches.</w:t>
      </w:r>
      <w:r w:rsidR="000761B3">
        <w:br/>
      </w:r>
    </w:p>
    <w:p w14:paraId="2DD82CCE" w14:textId="77777777" w:rsidR="00E05DEB" w:rsidRDefault="00B15437" w:rsidP="00CB6643">
      <w:pPr>
        <w:rPr>
          <w:b/>
          <w:bCs/>
        </w:rPr>
      </w:pPr>
      <w:r w:rsidRPr="00B15437">
        <w:rPr>
          <w:b/>
          <w:bCs/>
        </w:rPr>
        <w:t>Academic Ethics and Student Conduct Code</w:t>
      </w:r>
    </w:p>
    <w:p w14:paraId="67684E97" w14:textId="593B9F2B" w:rsidR="00B15437" w:rsidRPr="001640DD" w:rsidRDefault="00B15437" w:rsidP="00CB6643">
      <w:pPr>
        <w:rPr>
          <w:b/>
          <w:bCs/>
        </w:rPr>
      </w:pPr>
      <w:r w:rsidRPr="00B15437">
        <w:t xml:space="preserve">Students enrolled in the Bloomberg School of Public Health of The Johns Hopkins University assume an obligation to conduct themselves in a manner appropriate to the University's mission as an institution of higher education. A student is obligated to refrain from acts which he, she, or they know, or under the circumstances has reason to know, impair the academic integrity of the University. Violations of academic integrity </w:t>
      </w:r>
      <w:proofErr w:type="gramStart"/>
      <w:r w:rsidRPr="00B15437">
        <w:t>include, but</w:t>
      </w:r>
      <w:proofErr w:type="gramEnd"/>
      <w:r w:rsidRPr="00B15437">
        <w:t xml:space="preserve"> are not limited </w:t>
      </w:r>
      <w:proofErr w:type="gramStart"/>
      <w:r w:rsidRPr="00B15437">
        <w:t>to:</w:t>
      </w:r>
      <w:proofErr w:type="gramEnd"/>
      <w:r w:rsidRPr="00B15437">
        <w:t xml:space="preserve"> cheating; plagiarism; knowingly furnishing false information to any agent of the University for inclusion in the academic record; violation of the rights and welfare of animal or human subjects in research; and misconduct as a member of either School or University committees or recognized groups or organizations.</w:t>
      </w:r>
    </w:p>
    <w:p w14:paraId="279BF21D" w14:textId="3B3D00F8" w:rsidR="00B15437" w:rsidRPr="00B15437" w:rsidRDefault="00B15437" w:rsidP="00CB6643">
      <w:r w:rsidRPr="00B15437">
        <w:t xml:space="preserve">Students should be familiar with the policies and procedures specified under Policy and Procedure Manual Student-01 (Academic Ethics), available </w:t>
      </w:r>
      <w:r>
        <w:t xml:space="preserve">at this web site, under the fourth heading: </w:t>
      </w:r>
      <w:hyperlink r:id="rId11" w:history="1">
        <w:r w:rsidRPr="0058388E">
          <w:rPr>
            <w:rStyle w:val="Hyperlink"/>
          </w:rPr>
          <w:t>https://my.publichealth.jhu.edu/Resources/PoliciesProcedures/ppm/Pages/default.aspx</w:t>
        </w:r>
      </w:hyperlink>
      <w:r>
        <w:t xml:space="preserve"> (</w:t>
      </w:r>
      <w:r w:rsidR="00624766">
        <w:t>retrieved</w:t>
      </w:r>
      <w:r>
        <w:t xml:space="preserve"> June 2, 2025).</w:t>
      </w:r>
    </w:p>
    <w:p w14:paraId="54A5291B" w14:textId="45B94DDE" w:rsidR="00B15437" w:rsidRDefault="00B15437" w:rsidP="00CB6643">
      <w:r w:rsidRPr="00B15437">
        <w:t xml:space="preserve">The faculty, staff and students </w:t>
      </w:r>
      <w:proofErr w:type="gramStart"/>
      <w:r w:rsidRPr="00B15437">
        <w:t>of</w:t>
      </w:r>
      <w:proofErr w:type="gramEnd"/>
      <w:r w:rsidRPr="00B15437">
        <w:t xml:space="preserve"> the Bloomberg School of Public Health and the Johns Hopkins University have the shared responsibility to conduct themselves in a manner that upholds the law and respects the rights of others. Students enrolled in the </w:t>
      </w:r>
      <w:proofErr w:type="gramStart"/>
      <w:r w:rsidRPr="00B15437">
        <w:t>School</w:t>
      </w:r>
      <w:proofErr w:type="gramEnd"/>
      <w:r w:rsidRPr="00B15437">
        <w:t xml:space="preserve"> are </w:t>
      </w:r>
      <w:r w:rsidRPr="00B15437">
        <w:lastRenderedPageBreak/>
        <w:t xml:space="preserve">subject to the Student Conduct Code (detailed in Policy and Procedure Manual Student-06) and assume an obligation to conduct themselves in a manner which upholds the law and respects the rights of others. They are responsible for maintaining the academic integrity of the institution and for preserving an environment conducive to the safe pursuit of the </w:t>
      </w:r>
      <w:proofErr w:type="gramStart"/>
      <w:r w:rsidRPr="00B15437">
        <w:t>School's</w:t>
      </w:r>
      <w:proofErr w:type="gramEnd"/>
      <w:r w:rsidRPr="00B15437">
        <w:t xml:space="preserve"> educational, research, and professional practice missions.</w:t>
      </w:r>
    </w:p>
    <w:p w14:paraId="7BCB5BF9" w14:textId="77777777" w:rsidR="00B15437" w:rsidRDefault="00B15437" w:rsidP="00B15437">
      <w:r>
        <w:br/>
      </w:r>
      <w:r>
        <w:rPr>
          <w:b/>
          <w:bCs/>
        </w:rPr>
        <w:t>Student Health and Well-being</w:t>
      </w:r>
      <w:r w:rsidRPr="00B15437">
        <w:br/>
      </w:r>
      <w:r>
        <w:t>The Bloomberg School of Public Health is committed to the holistic well-being of its students and offers a wide spectrum of support as they progress toward becoming confident, capable, and fulfilled leaders in public health.</w:t>
      </w:r>
    </w:p>
    <w:p w14:paraId="2CBEA549" w14:textId="68003DB9" w:rsidR="00B15437" w:rsidRDefault="00B15437" w:rsidP="00B15437">
      <w:r>
        <w:t xml:space="preserve">If you are struggling with anxiety, stress, depression, or other mental health related concerns, please consider contacting Mental Health Services. </w:t>
      </w:r>
    </w:p>
    <w:p w14:paraId="0FE130F3" w14:textId="05F58420" w:rsidR="00B15437" w:rsidRPr="00B15437" w:rsidRDefault="00B15437" w:rsidP="00B15437">
      <w:pPr>
        <w:pStyle w:val="ListParagraph"/>
        <w:numPr>
          <w:ilvl w:val="0"/>
          <w:numId w:val="4"/>
        </w:numPr>
        <w:rPr>
          <w:b/>
          <w:bCs/>
        </w:rPr>
      </w:pPr>
      <w:r w:rsidRPr="00B15437">
        <w:t xml:space="preserve">Student support: </w:t>
      </w:r>
      <w:hyperlink r:id="rId12" w:history="1">
        <w:r w:rsidRPr="0058388E">
          <w:rPr>
            <w:rStyle w:val="Hyperlink"/>
          </w:rPr>
          <w:t>https://bit.ly/bsphstudentsupport</w:t>
        </w:r>
      </w:hyperlink>
    </w:p>
    <w:p w14:paraId="3CFF1F8F" w14:textId="6F5328D6" w:rsidR="00B15437" w:rsidRPr="00B15437" w:rsidRDefault="00B15437" w:rsidP="00B15437">
      <w:pPr>
        <w:pStyle w:val="ListParagraph"/>
        <w:numPr>
          <w:ilvl w:val="0"/>
          <w:numId w:val="4"/>
        </w:numPr>
        <w:rPr>
          <w:b/>
          <w:bCs/>
        </w:rPr>
      </w:pPr>
      <w:r>
        <w:t xml:space="preserve">Mental Health Services: </w:t>
      </w:r>
      <w:hyperlink r:id="rId13" w:history="1">
        <w:r w:rsidRPr="0058388E">
          <w:rPr>
            <w:rStyle w:val="Hyperlink"/>
          </w:rPr>
          <w:t>https://wellbeing.jhu.edu/MentalHealthServices/</w:t>
        </w:r>
      </w:hyperlink>
    </w:p>
    <w:p w14:paraId="6445207F" w14:textId="6C4CE22F" w:rsidR="00B15437" w:rsidRDefault="00B15437" w:rsidP="00B15437">
      <w:r>
        <w:br/>
        <w:t>If you need more immediate support, or if you are concerned about a friend who might be in crisis, please contact the Behavioral Health Crisis Support Team (BHCST) at 410-516-9355, 24 hours a day, 7 days a week. The BHCST provides mobile crisis response to Baltimore campuses within the Charles Village, Mt. Vernon, and East Baltimore Public Safety footprints, and consultation for Washington, DC.</w:t>
      </w:r>
    </w:p>
    <w:p w14:paraId="2E354935" w14:textId="44DCCF76" w:rsidR="00B15437" w:rsidRDefault="00B15437" w:rsidP="00B15437">
      <w:pPr>
        <w:rPr>
          <w:b/>
          <w:bCs/>
        </w:rPr>
      </w:pPr>
      <w:r>
        <w:br/>
      </w:r>
      <w:r w:rsidRPr="00B15437">
        <w:rPr>
          <w:b/>
          <w:bCs/>
        </w:rPr>
        <w:t>Students with Disabilities</w:t>
      </w:r>
      <w:r w:rsidR="00CB6643">
        <w:rPr>
          <w:b/>
          <w:bCs/>
        </w:rPr>
        <w:t xml:space="preserve">: </w:t>
      </w:r>
      <w:r w:rsidRPr="00B15437">
        <w:rPr>
          <w:b/>
          <w:bCs/>
        </w:rPr>
        <w:t>Accommodations and Accessibility</w:t>
      </w:r>
    </w:p>
    <w:p w14:paraId="28EF1874" w14:textId="77777777" w:rsidR="00B15437" w:rsidRDefault="00B15437" w:rsidP="00B15437">
      <w:r w:rsidRPr="00B15437">
        <w:t>Student Disability Services (SDS) provides accessible and inclusive educational experiences for students with disabilities by collaborating with campus partners to proactively remove barriers, raise awareness of equitable practices, and foster an appreciation of disability as an area of diversity while utilizing a wide range of collaborative approaches from individualized accommodations to universal design.</w:t>
      </w:r>
    </w:p>
    <w:p w14:paraId="74E08600" w14:textId="7789EE22" w:rsidR="00B15437" w:rsidRPr="00B15437" w:rsidRDefault="00B15437" w:rsidP="00B15437">
      <w:r w:rsidRPr="00B15437">
        <w:t>To request disability-related accommodations or services at Bloomberg School of Public Health:</w:t>
      </w:r>
    </w:p>
    <w:p w14:paraId="6481B492" w14:textId="250ACB13" w:rsidR="00B15437" w:rsidRPr="00B15437" w:rsidRDefault="00B15437" w:rsidP="00B15437">
      <w:pPr>
        <w:pStyle w:val="ListParagraph"/>
        <w:numPr>
          <w:ilvl w:val="0"/>
          <w:numId w:val="6"/>
        </w:numPr>
      </w:pPr>
      <w:r w:rsidRPr="00B15437">
        <w:t>Complete the SDS online application via AIM</w:t>
      </w:r>
      <w:r w:rsidR="00096EB9">
        <w:t xml:space="preserve"> (see link below)</w:t>
      </w:r>
    </w:p>
    <w:p w14:paraId="5EF92791" w14:textId="2E7D0809" w:rsidR="00B15437" w:rsidRPr="00B15437" w:rsidRDefault="00B15437" w:rsidP="00B15437">
      <w:pPr>
        <w:pStyle w:val="ListParagraph"/>
        <w:numPr>
          <w:ilvl w:val="0"/>
          <w:numId w:val="6"/>
        </w:numPr>
      </w:pPr>
      <w:r w:rsidRPr="00B15437">
        <w:t>Submit documentation using the provided link after application submission.</w:t>
      </w:r>
    </w:p>
    <w:p w14:paraId="745AAFB0" w14:textId="652DE14C" w:rsidR="00B15437" w:rsidRDefault="00B15437" w:rsidP="00B15437">
      <w:pPr>
        <w:pStyle w:val="ListParagraph"/>
        <w:numPr>
          <w:ilvl w:val="0"/>
          <w:numId w:val="6"/>
        </w:numPr>
      </w:pPr>
      <w:r w:rsidRPr="00B15437">
        <w:t xml:space="preserve">Schedule a meeting with Audrey Ndaba </w:t>
      </w:r>
      <w:r w:rsidR="00096EB9">
        <w:t xml:space="preserve">(see contact below) </w:t>
      </w:r>
      <w:r w:rsidRPr="00B15437">
        <w:t>to discuss your needs and accommodations.</w:t>
      </w:r>
    </w:p>
    <w:p w14:paraId="5DD3ED36" w14:textId="77777777" w:rsidR="00096EB9" w:rsidRDefault="00096EB9" w:rsidP="00096EB9">
      <w:pPr>
        <w:ind w:left="360"/>
        <w:rPr>
          <w:u w:val="single"/>
        </w:rPr>
      </w:pPr>
      <w:r w:rsidRPr="00096EB9">
        <w:rPr>
          <w:u w:val="single"/>
        </w:rPr>
        <w:lastRenderedPageBreak/>
        <w:t>Resources:</w:t>
      </w:r>
    </w:p>
    <w:p w14:paraId="4A6E8632" w14:textId="1BE13E5E" w:rsidR="00096EB9" w:rsidRDefault="00096EB9" w:rsidP="00096EB9">
      <w:pPr>
        <w:pStyle w:val="ListParagraph"/>
        <w:numPr>
          <w:ilvl w:val="0"/>
          <w:numId w:val="8"/>
        </w:numPr>
      </w:pPr>
      <w:r>
        <w:t xml:space="preserve">SDS: </w:t>
      </w:r>
      <w:hyperlink r:id="rId14" w:history="1">
        <w:r w:rsidRPr="0058388E">
          <w:rPr>
            <w:rStyle w:val="Hyperlink"/>
          </w:rPr>
          <w:t>https://publichealth.jhu.edu/about/inclusion-diversity-anti-racism-and-equity-idare/student-disability-services</w:t>
        </w:r>
      </w:hyperlink>
    </w:p>
    <w:p w14:paraId="580E4AB7" w14:textId="361159D5" w:rsidR="00096EB9" w:rsidRDefault="00096EB9" w:rsidP="00096EB9">
      <w:pPr>
        <w:pStyle w:val="ListParagraph"/>
        <w:numPr>
          <w:ilvl w:val="0"/>
          <w:numId w:val="8"/>
        </w:numPr>
      </w:pPr>
      <w:r>
        <w:t xml:space="preserve">AIM: </w:t>
      </w:r>
      <w:hyperlink r:id="rId15" w:history="1">
        <w:r w:rsidRPr="0058388E">
          <w:rPr>
            <w:rStyle w:val="Hyperlink"/>
          </w:rPr>
          <w:t>https://hunter.accessiblelearning.com/JHU/ApplicationStudent.aspx</w:t>
        </w:r>
      </w:hyperlink>
    </w:p>
    <w:p w14:paraId="37526492" w14:textId="2879F69C" w:rsidR="006B6B03" w:rsidRDefault="00096EB9" w:rsidP="00096EB9">
      <w:pPr>
        <w:pStyle w:val="ListParagraph"/>
        <w:numPr>
          <w:ilvl w:val="0"/>
          <w:numId w:val="8"/>
        </w:numPr>
      </w:pPr>
      <w:r>
        <w:t xml:space="preserve">Audrey Ndaba: </w:t>
      </w:r>
      <w:hyperlink r:id="rId16" w:history="1">
        <w:r w:rsidRPr="0058388E">
          <w:rPr>
            <w:rStyle w:val="Hyperlink"/>
          </w:rPr>
          <w:t>https://outlook.office365.com/book/SDSBSPH@live.johnshopkins.edu/</w:t>
        </w:r>
      </w:hyperlink>
    </w:p>
    <w:p w14:paraId="3CA04B45" w14:textId="0F3E8884" w:rsidR="00E11B56" w:rsidRDefault="00931798" w:rsidP="00CB6643">
      <w:r>
        <w:br/>
      </w:r>
      <w:r w:rsidR="00E84425">
        <w:rPr>
          <w:b/>
          <w:bCs/>
        </w:rPr>
        <w:t>Schedule</w:t>
      </w:r>
    </w:p>
    <w:p w14:paraId="47C2824D" w14:textId="4A556DCB" w:rsidR="00E11B56" w:rsidRDefault="00E11B56" w:rsidP="00CB6643">
      <w:r>
        <w:t>Please try to finish reading before class</w:t>
      </w:r>
      <w:r w:rsidR="00052577">
        <w:t>, but you can get by without doing so.</w:t>
      </w:r>
    </w:p>
    <w:p w14:paraId="01AB4365" w14:textId="77777777" w:rsidR="00E11B56" w:rsidRDefault="00E11B56" w:rsidP="00CB6643"/>
    <w:tbl>
      <w:tblPr>
        <w:tblStyle w:val="TableGrid"/>
        <w:tblW w:w="9805" w:type="dxa"/>
        <w:tblLook w:val="04A0" w:firstRow="1" w:lastRow="0" w:firstColumn="1" w:lastColumn="0" w:noHBand="0" w:noVBand="1"/>
      </w:tblPr>
      <w:tblGrid>
        <w:gridCol w:w="2160"/>
        <w:gridCol w:w="2160"/>
        <w:gridCol w:w="5485"/>
      </w:tblGrid>
      <w:tr w:rsidR="00675703" w14:paraId="4E8AEF90" w14:textId="77777777" w:rsidTr="00601B71">
        <w:tc>
          <w:tcPr>
            <w:tcW w:w="2160" w:type="dxa"/>
          </w:tcPr>
          <w:p w14:paraId="68D39B06" w14:textId="52C2A282" w:rsidR="00675703" w:rsidRPr="00675703" w:rsidRDefault="00675703" w:rsidP="00122998">
            <w:pPr>
              <w:rPr>
                <w:b/>
                <w:bCs/>
              </w:rPr>
            </w:pPr>
            <w:r w:rsidRPr="00675703">
              <w:rPr>
                <w:b/>
                <w:bCs/>
              </w:rPr>
              <w:t>Date</w:t>
            </w:r>
            <w:r w:rsidR="008F6586">
              <w:rPr>
                <w:b/>
                <w:bCs/>
              </w:rPr>
              <w:t>/</w:t>
            </w:r>
            <w:r w:rsidRPr="00675703">
              <w:rPr>
                <w:b/>
                <w:bCs/>
              </w:rPr>
              <w:t>Time</w:t>
            </w:r>
            <w:r>
              <w:rPr>
                <w:b/>
                <w:bCs/>
              </w:rPr>
              <w:t>/Topic</w:t>
            </w:r>
          </w:p>
        </w:tc>
        <w:tc>
          <w:tcPr>
            <w:tcW w:w="2160" w:type="dxa"/>
          </w:tcPr>
          <w:p w14:paraId="28D4C553" w14:textId="076045A6" w:rsidR="00675703" w:rsidRPr="00675703" w:rsidRDefault="00675703" w:rsidP="00122998">
            <w:pPr>
              <w:rPr>
                <w:b/>
                <w:bCs/>
              </w:rPr>
            </w:pPr>
            <w:r w:rsidRPr="00675703">
              <w:rPr>
                <w:b/>
                <w:bCs/>
              </w:rPr>
              <w:t>Due</w:t>
            </w:r>
          </w:p>
        </w:tc>
        <w:tc>
          <w:tcPr>
            <w:tcW w:w="5485" w:type="dxa"/>
          </w:tcPr>
          <w:p w14:paraId="05A2B874" w14:textId="77777777" w:rsidR="00675703" w:rsidRPr="00675703" w:rsidRDefault="00675703" w:rsidP="00122998">
            <w:pPr>
              <w:rPr>
                <w:b/>
                <w:bCs/>
              </w:rPr>
            </w:pPr>
            <w:r w:rsidRPr="00675703">
              <w:rPr>
                <w:b/>
                <w:bCs/>
              </w:rPr>
              <w:t>Notes &amp; Exercises</w:t>
            </w:r>
          </w:p>
        </w:tc>
      </w:tr>
      <w:tr w:rsidR="00675703" w14:paraId="1440C3EC" w14:textId="77777777" w:rsidTr="00601B71">
        <w:tc>
          <w:tcPr>
            <w:tcW w:w="2160" w:type="dxa"/>
          </w:tcPr>
          <w:p w14:paraId="431554B5" w14:textId="74EFC090" w:rsidR="00675703" w:rsidRDefault="00675703" w:rsidP="00122998">
            <w:r>
              <w:t>Tuesday, June 10</w:t>
            </w:r>
            <w:r>
              <w:br/>
              <w:t>9:00–10:50 am</w:t>
            </w:r>
            <w:r>
              <w:br/>
            </w:r>
            <w:r>
              <w:br/>
            </w:r>
          </w:p>
        </w:tc>
        <w:tc>
          <w:tcPr>
            <w:tcW w:w="2160" w:type="dxa"/>
          </w:tcPr>
          <w:p w14:paraId="7F8174F4" w14:textId="77777777" w:rsidR="00675703" w:rsidRDefault="00675703" w:rsidP="00122998">
            <w:r>
              <w:t xml:space="preserve">Healy, </w:t>
            </w:r>
            <w:proofErr w:type="spellStart"/>
            <w:r>
              <w:t>chs</w:t>
            </w:r>
            <w:proofErr w:type="spellEnd"/>
            <w:r>
              <w:t>. 1–3</w:t>
            </w:r>
          </w:p>
        </w:tc>
        <w:tc>
          <w:tcPr>
            <w:tcW w:w="5485" w:type="dxa"/>
          </w:tcPr>
          <w:p w14:paraId="299B6A5E" w14:textId="77777777" w:rsidR="00464984" w:rsidRDefault="00464984" w:rsidP="00464984">
            <w:r>
              <w:t>- Why visualize? What makes a good visualization?</w:t>
            </w:r>
          </w:p>
          <w:p w14:paraId="4A4C73DC" w14:textId="77777777" w:rsidR="00464984" w:rsidRDefault="00464984" w:rsidP="00464984">
            <w:r>
              <w:t>- Intro to tools: R, Git, GitHub, editors, notebooks</w:t>
            </w:r>
          </w:p>
          <w:p w14:paraId="7205A559" w14:textId="77777777" w:rsidR="00464984" w:rsidRDefault="00464984" w:rsidP="00464984">
            <w:r>
              <w:t xml:space="preserve">- Notebook formats: </w:t>
            </w:r>
            <w:proofErr w:type="spellStart"/>
            <w:r>
              <w:t>RMarkdown</w:t>
            </w:r>
            <w:proofErr w:type="spellEnd"/>
            <w:r>
              <w:t xml:space="preserve">, Quarto, </w:t>
            </w:r>
            <w:proofErr w:type="spellStart"/>
            <w:r>
              <w:t>Jupyter</w:t>
            </w:r>
            <w:proofErr w:type="spellEnd"/>
            <w:r>
              <w:t xml:space="preserve"> (brief overview)</w:t>
            </w:r>
          </w:p>
          <w:p w14:paraId="5DA52CC9" w14:textId="77777777" w:rsidR="00464984" w:rsidRDefault="00464984" w:rsidP="00464984">
            <w:r>
              <w:t>- Core charts: bar charts, histograms, scatterplots</w:t>
            </w:r>
          </w:p>
          <w:p w14:paraId="24B3F29D" w14:textId="3E1D4337" w:rsidR="00464984" w:rsidRDefault="00464984" w:rsidP="00464984">
            <w:r>
              <w:t xml:space="preserve">- </w:t>
            </w:r>
            <w:r w:rsidR="00790893">
              <w:t>Levels of measurement and why they matter</w:t>
            </w:r>
          </w:p>
          <w:p w14:paraId="2470BE49" w14:textId="25996FF6" w:rsidR="00675703" w:rsidRDefault="00464984" w:rsidP="00464984">
            <w:r>
              <w:t>- Hands-on: set up notebook, load data, transform, plot, commit</w:t>
            </w:r>
            <w:r w:rsidR="00D4471B">
              <w:br/>
            </w:r>
            <w:r w:rsidR="00675703">
              <w:br/>
              <w:t>Homework: Problem Set 1 due Wednesday before class</w:t>
            </w:r>
          </w:p>
        </w:tc>
      </w:tr>
      <w:tr w:rsidR="00675703" w14:paraId="3E9907B5" w14:textId="77777777" w:rsidTr="00601B71">
        <w:tc>
          <w:tcPr>
            <w:tcW w:w="2160" w:type="dxa"/>
          </w:tcPr>
          <w:p w14:paraId="13A90091" w14:textId="77777777" w:rsidR="00675703" w:rsidRDefault="00675703" w:rsidP="00122998">
            <w:r>
              <w:t>Wednesday, June 11</w:t>
            </w:r>
            <w:r>
              <w:br/>
              <w:t>9:00–10:50 am</w:t>
            </w:r>
          </w:p>
        </w:tc>
        <w:tc>
          <w:tcPr>
            <w:tcW w:w="2160" w:type="dxa"/>
          </w:tcPr>
          <w:p w14:paraId="46912BBD" w14:textId="734E681D" w:rsidR="00675703" w:rsidRDefault="00675703" w:rsidP="00122998">
            <w:r>
              <w:t xml:space="preserve">Healy, </w:t>
            </w:r>
            <w:proofErr w:type="spellStart"/>
            <w:r>
              <w:t>chs</w:t>
            </w:r>
            <w:proofErr w:type="spellEnd"/>
            <w:r>
              <w:t>. 4–6</w:t>
            </w:r>
            <w:r>
              <w:br/>
            </w:r>
            <w:r w:rsidR="008F6586">
              <w:t>Problem set</w:t>
            </w:r>
            <w:r>
              <w:t xml:space="preserve"> 1 due</w:t>
            </w:r>
          </w:p>
        </w:tc>
        <w:tc>
          <w:tcPr>
            <w:tcW w:w="5485" w:type="dxa"/>
          </w:tcPr>
          <w:p w14:paraId="7BC47B8A" w14:textId="3EA32E47" w:rsidR="00E53137" w:rsidRDefault="00E53137" w:rsidP="00E53137">
            <w:r>
              <w:t>- The grammar of graphics (</w:t>
            </w:r>
            <w:r>
              <w:t>as a concept &amp; as software</w:t>
            </w:r>
            <w:r>
              <w:t>)</w:t>
            </w:r>
          </w:p>
          <w:p w14:paraId="3BC4559E" w14:textId="586612B9" w:rsidR="00E53137" w:rsidRDefault="00DF1A39" w:rsidP="00E53137">
            <w:r>
              <w:t>- Avoiding common ways visualizations mislead</w:t>
            </w:r>
            <w:r>
              <w:br/>
            </w:r>
            <w:r w:rsidR="00E53137">
              <w:t xml:space="preserve">- Visualization as layers: data → aesthetics → </w:t>
            </w:r>
            <w:proofErr w:type="spellStart"/>
            <w:r w:rsidR="00E53137">
              <w:t>geoms</w:t>
            </w:r>
            <w:proofErr w:type="spellEnd"/>
            <w:r w:rsidR="00E53137">
              <w:t xml:space="preserve"> → stats → labels</w:t>
            </w:r>
          </w:p>
          <w:p w14:paraId="76156B3B" w14:textId="77777777" w:rsidR="00E53137" w:rsidRDefault="00E53137" w:rsidP="00E53137">
            <w:r>
              <w:t>- Aggregation: built-in vs. manual</w:t>
            </w:r>
          </w:p>
          <w:p w14:paraId="2EBFB8A9" w14:textId="77777777" w:rsidR="00E53137" w:rsidRDefault="00E53137" w:rsidP="00E53137">
            <w:r>
              <w:t>- Working with facets and fills</w:t>
            </w:r>
          </w:p>
          <w:p w14:paraId="0C1BF966" w14:textId="77777777" w:rsidR="00E53137" w:rsidRDefault="00E53137" w:rsidP="00E53137">
            <w:r>
              <w:t>- Annotation and design principles (color, readability, clarity)</w:t>
            </w:r>
          </w:p>
          <w:p w14:paraId="4A47C68E" w14:textId="283B74E7" w:rsidR="00675703" w:rsidRDefault="00E53137" w:rsidP="00E53137">
            <w:r>
              <w:t>- Hands-on: build a layered and well-labeled plot</w:t>
            </w:r>
            <w:r w:rsidR="00F57F7E">
              <w:br/>
            </w:r>
            <w:r w:rsidR="00675703">
              <w:br/>
              <w:t>Homework: Problem Set 2 due Thursday before class</w:t>
            </w:r>
          </w:p>
        </w:tc>
      </w:tr>
      <w:tr w:rsidR="00675703" w14:paraId="40545D8D" w14:textId="77777777" w:rsidTr="00601B71">
        <w:tc>
          <w:tcPr>
            <w:tcW w:w="2160" w:type="dxa"/>
          </w:tcPr>
          <w:p w14:paraId="0FC98798" w14:textId="77777777" w:rsidR="00675703" w:rsidRDefault="00675703" w:rsidP="00122998">
            <w:r>
              <w:t>Thursday, June 12</w:t>
            </w:r>
            <w:r>
              <w:br/>
              <w:t>9:00–10:50 am</w:t>
            </w:r>
          </w:p>
        </w:tc>
        <w:tc>
          <w:tcPr>
            <w:tcW w:w="2160" w:type="dxa"/>
          </w:tcPr>
          <w:p w14:paraId="225A6BD9" w14:textId="7EB054D4" w:rsidR="00675703" w:rsidRDefault="00675703" w:rsidP="00122998">
            <w:r>
              <w:t xml:space="preserve">Healy, </w:t>
            </w:r>
            <w:proofErr w:type="spellStart"/>
            <w:r>
              <w:t>chs</w:t>
            </w:r>
            <w:proofErr w:type="spellEnd"/>
            <w:r>
              <w:t>. 7–8</w:t>
            </w:r>
            <w:r>
              <w:br/>
            </w:r>
            <w:r w:rsidR="008F6586">
              <w:t>Problem set</w:t>
            </w:r>
            <w:r w:rsidR="008F6586">
              <w:t xml:space="preserve"> </w:t>
            </w:r>
            <w:r>
              <w:t>2 due</w:t>
            </w:r>
          </w:p>
        </w:tc>
        <w:tc>
          <w:tcPr>
            <w:tcW w:w="5485" w:type="dxa"/>
          </w:tcPr>
          <w:p w14:paraId="00ADF8BF" w14:textId="77777777" w:rsidR="0053711F" w:rsidRDefault="0053711F" w:rsidP="0053711F">
            <w:r>
              <w:t>- Choosing what to visualize: causal questions and lazy DAGs</w:t>
            </w:r>
          </w:p>
          <w:p w14:paraId="2D2C6E63" w14:textId="0B46E10F" w:rsidR="0053711F" w:rsidRDefault="0053711F" w:rsidP="0053711F">
            <w:r>
              <w:t xml:space="preserve">- </w:t>
            </w:r>
            <w:r w:rsidR="005D125B">
              <w:t>Generative experimentation</w:t>
            </w:r>
          </w:p>
          <w:p w14:paraId="1C938BE2" w14:textId="77777777" w:rsidR="0053711F" w:rsidRDefault="0053711F" w:rsidP="0053711F">
            <w:r>
              <w:t>- Plot types: time series, forest plots, ridgeline plots, maps</w:t>
            </w:r>
          </w:p>
          <w:p w14:paraId="2CCA2092" w14:textId="56C77DE3" w:rsidR="00C8465E" w:rsidRDefault="00C8465E" w:rsidP="00C8465E">
            <w:r>
              <w:t xml:space="preserve">- </w:t>
            </w:r>
            <w:r>
              <w:t>Dashboards: brief intro to Shiny and alternatives (demo or scaffolded build)</w:t>
            </w:r>
          </w:p>
          <w:p w14:paraId="01E81AAF" w14:textId="32DCE734" w:rsidR="00675703" w:rsidRDefault="00C8465E" w:rsidP="00C8465E">
            <w:r>
              <w:t>-</w:t>
            </w:r>
            <w:r>
              <w:t xml:space="preserve"> </w:t>
            </w:r>
            <w:r>
              <w:t>Hands-on: extend a basic Shiny app or explore an existing dashboard</w:t>
            </w:r>
            <w:r w:rsidR="007819E9">
              <w:br/>
            </w:r>
            <w:r w:rsidR="00675703">
              <w:lastRenderedPageBreak/>
              <w:br/>
              <w:t>Homework: Problem Set 3 due Friday at noon</w:t>
            </w:r>
          </w:p>
        </w:tc>
      </w:tr>
      <w:tr w:rsidR="00675703" w14:paraId="15A2742A" w14:textId="77777777" w:rsidTr="00601B71">
        <w:tc>
          <w:tcPr>
            <w:tcW w:w="2160" w:type="dxa"/>
          </w:tcPr>
          <w:p w14:paraId="7F95C9FB" w14:textId="77777777" w:rsidR="00675703" w:rsidRDefault="00675703" w:rsidP="00122998">
            <w:r>
              <w:lastRenderedPageBreak/>
              <w:t>Friday, June 13</w:t>
            </w:r>
          </w:p>
        </w:tc>
        <w:tc>
          <w:tcPr>
            <w:tcW w:w="2160" w:type="dxa"/>
          </w:tcPr>
          <w:p w14:paraId="37487319" w14:textId="70F5E78F" w:rsidR="00675703" w:rsidRDefault="00675703" w:rsidP="00122998">
            <w:r>
              <w:t xml:space="preserve">Problem </w:t>
            </w:r>
            <w:r w:rsidR="008F6586">
              <w:t>s</w:t>
            </w:r>
            <w:r>
              <w:t>et 3 due at noon</w:t>
            </w:r>
          </w:p>
        </w:tc>
        <w:tc>
          <w:tcPr>
            <w:tcW w:w="5485" w:type="dxa"/>
          </w:tcPr>
          <w:p w14:paraId="71744C5D" w14:textId="77777777" w:rsidR="00675703" w:rsidRDefault="00675703" w:rsidP="00122998"/>
        </w:tc>
      </w:tr>
      <w:tr w:rsidR="00675703" w14:paraId="3E351559" w14:textId="77777777" w:rsidTr="00601B71">
        <w:tc>
          <w:tcPr>
            <w:tcW w:w="2160" w:type="dxa"/>
          </w:tcPr>
          <w:p w14:paraId="144F23C9" w14:textId="77777777" w:rsidR="00675703" w:rsidRDefault="00675703" w:rsidP="00122998">
            <w:r>
              <w:t>Thursday, July 3</w:t>
            </w:r>
          </w:p>
        </w:tc>
        <w:tc>
          <w:tcPr>
            <w:tcW w:w="2160" w:type="dxa"/>
          </w:tcPr>
          <w:p w14:paraId="52B968F4" w14:textId="77777777" w:rsidR="00675703" w:rsidRDefault="00675703" w:rsidP="00122998">
            <w:r>
              <w:t>Final project due at 11:59 pm</w:t>
            </w:r>
          </w:p>
        </w:tc>
        <w:tc>
          <w:tcPr>
            <w:tcW w:w="5485" w:type="dxa"/>
          </w:tcPr>
          <w:p w14:paraId="2DFC2C1D" w14:textId="77777777" w:rsidR="00675703" w:rsidRDefault="00675703" w:rsidP="00122998"/>
        </w:tc>
      </w:tr>
    </w:tbl>
    <w:p w14:paraId="5D06EA3A" w14:textId="77777777" w:rsidR="00675703" w:rsidRDefault="00675703" w:rsidP="00CB6643"/>
    <w:sectPr w:rsidR="00675703">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FC8D3" w14:textId="77777777" w:rsidR="00513A7A" w:rsidRDefault="00513A7A" w:rsidP="00CB6643">
      <w:pPr>
        <w:spacing w:after="0" w:line="240" w:lineRule="auto"/>
      </w:pPr>
      <w:r>
        <w:separator/>
      </w:r>
    </w:p>
  </w:endnote>
  <w:endnote w:type="continuationSeparator" w:id="0">
    <w:p w14:paraId="2AE23114" w14:textId="77777777" w:rsidR="00513A7A" w:rsidRDefault="00513A7A" w:rsidP="00CB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81915334"/>
      <w:docPartObj>
        <w:docPartGallery w:val="Page Numbers (Bottom of Page)"/>
        <w:docPartUnique/>
      </w:docPartObj>
    </w:sdtPr>
    <w:sdtEndPr>
      <w:rPr>
        <w:rStyle w:val="PageNumber"/>
      </w:rPr>
    </w:sdtEndPr>
    <w:sdtContent>
      <w:p w14:paraId="4AC8EC8B" w14:textId="1A046173" w:rsidR="00CB6643" w:rsidRDefault="00CB6643" w:rsidP="005838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D651AFC" w14:textId="77777777" w:rsidR="00CB6643" w:rsidRDefault="00CB6643" w:rsidP="00CB66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8085758"/>
      <w:docPartObj>
        <w:docPartGallery w:val="Page Numbers (Bottom of Page)"/>
        <w:docPartUnique/>
      </w:docPartObj>
    </w:sdtPr>
    <w:sdtEndPr>
      <w:rPr>
        <w:rStyle w:val="PageNumber"/>
      </w:rPr>
    </w:sdtEndPr>
    <w:sdtContent>
      <w:p w14:paraId="3D37C428" w14:textId="7EF92E99" w:rsidR="00CB6643" w:rsidRDefault="00CB6643" w:rsidP="005838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7B3F12B" w14:textId="77777777" w:rsidR="00CB6643" w:rsidRDefault="00CB6643" w:rsidP="00CB66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58228" w14:textId="77777777" w:rsidR="00513A7A" w:rsidRDefault="00513A7A" w:rsidP="00CB6643">
      <w:pPr>
        <w:spacing w:after="0" w:line="240" w:lineRule="auto"/>
      </w:pPr>
      <w:r>
        <w:separator/>
      </w:r>
    </w:p>
  </w:footnote>
  <w:footnote w:type="continuationSeparator" w:id="0">
    <w:p w14:paraId="258BEE0F" w14:textId="77777777" w:rsidR="00513A7A" w:rsidRDefault="00513A7A" w:rsidP="00CB6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73C53"/>
    <w:multiLevelType w:val="hybridMultilevel"/>
    <w:tmpl w:val="1222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8415B"/>
    <w:multiLevelType w:val="hybridMultilevel"/>
    <w:tmpl w:val="EF2C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F1DED"/>
    <w:multiLevelType w:val="hybridMultilevel"/>
    <w:tmpl w:val="71845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6C70C4"/>
    <w:multiLevelType w:val="hybridMultilevel"/>
    <w:tmpl w:val="99FA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D09AA"/>
    <w:multiLevelType w:val="hybridMultilevel"/>
    <w:tmpl w:val="E0A0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83C38"/>
    <w:multiLevelType w:val="hybridMultilevel"/>
    <w:tmpl w:val="D3A6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E365D"/>
    <w:multiLevelType w:val="hybridMultilevel"/>
    <w:tmpl w:val="94F616A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 w15:restartNumberingAfterBreak="0">
    <w:nsid w:val="58213D06"/>
    <w:multiLevelType w:val="hybridMultilevel"/>
    <w:tmpl w:val="307A4958"/>
    <w:lvl w:ilvl="0" w:tplc="35F0B39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8708F"/>
    <w:multiLevelType w:val="hybridMultilevel"/>
    <w:tmpl w:val="C008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17B31"/>
    <w:multiLevelType w:val="hybridMultilevel"/>
    <w:tmpl w:val="C820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249090">
    <w:abstractNumId w:val="3"/>
  </w:num>
  <w:num w:numId="2" w16cid:durableId="564292669">
    <w:abstractNumId w:val="5"/>
  </w:num>
  <w:num w:numId="3" w16cid:durableId="1934124107">
    <w:abstractNumId w:val="9"/>
  </w:num>
  <w:num w:numId="4" w16cid:durableId="683361769">
    <w:abstractNumId w:val="6"/>
  </w:num>
  <w:num w:numId="5" w16cid:durableId="679820952">
    <w:abstractNumId w:val="1"/>
  </w:num>
  <w:num w:numId="6" w16cid:durableId="450513333">
    <w:abstractNumId w:val="8"/>
  </w:num>
  <w:num w:numId="7" w16cid:durableId="1607731273">
    <w:abstractNumId w:val="0"/>
  </w:num>
  <w:num w:numId="8" w16cid:durableId="483930810">
    <w:abstractNumId w:val="2"/>
  </w:num>
  <w:num w:numId="9" w16cid:durableId="108164185">
    <w:abstractNumId w:val="4"/>
  </w:num>
  <w:num w:numId="10" w16cid:durableId="728959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F8"/>
    <w:rsid w:val="000318E2"/>
    <w:rsid w:val="00037FD2"/>
    <w:rsid w:val="00052577"/>
    <w:rsid w:val="000761B3"/>
    <w:rsid w:val="00080327"/>
    <w:rsid w:val="0008719C"/>
    <w:rsid w:val="000958E2"/>
    <w:rsid w:val="00096EB9"/>
    <w:rsid w:val="000B1B2E"/>
    <w:rsid w:val="000D5260"/>
    <w:rsid w:val="000E53A9"/>
    <w:rsid w:val="000F1A60"/>
    <w:rsid w:val="00102439"/>
    <w:rsid w:val="00116E95"/>
    <w:rsid w:val="00145DCA"/>
    <w:rsid w:val="00161057"/>
    <w:rsid w:val="001640DD"/>
    <w:rsid w:val="00164F2C"/>
    <w:rsid w:val="001E2278"/>
    <w:rsid w:val="001E325D"/>
    <w:rsid w:val="00204E99"/>
    <w:rsid w:val="002220D0"/>
    <w:rsid w:val="002318B1"/>
    <w:rsid w:val="0024122F"/>
    <w:rsid w:val="0024248C"/>
    <w:rsid w:val="002563F6"/>
    <w:rsid w:val="002F2E2D"/>
    <w:rsid w:val="003067A7"/>
    <w:rsid w:val="00363AEC"/>
    <w:rsid w:val="00386208"/>
    <w:rsid w:val="003C6F6A"/>
    <w:rsid w:val="003E45E5"/>
    <w:rsid w:val="0043584F"/>
    <w:rsid w:val="00457949"/>
    <w:rsid w:val="00464984"/>
    <w:rsid w:val="005037B4"/>
    <w:rsid w:val="00505BFB"/>
    <w:rsid w:val="00513A7A"/>
    <w:rsid w:val="00515803"/>
    <w:rsid w:val="005325B6"/>
    <w:rsid w:val="00536FF3"/>
    <w:rsid w:val="0053711F"/>
    <w:rsid w:val="00543327"/>
    <w:rsid w:val="005C0417"/>
    <w:rsid w:val="005D125B"/>
    <w:rsid w:val="00601B71"/>
    <w:rsid w:val="00604D09"/>
    <w:rsid w:val="006229CD"/>
    <w:rsid w:val="00624766"/>
    <w:rsid w:val="006279E3"/>
    <w:rsid w:val="00656B75"/>
    <w:rsid w:val="00674651"/>
    <w:rsid w:val="00675703"/>
    <w:rsid w:val="00680C76"/>
    <w:rsid w:val="00691084"/>
    <w:rsid w:val="00694CA7"/>
    <w:rsid w:val="006B6B03"/>
    <w:rsid w:val="006C0805"/>
    <w:rsid w:val="006E680E"/>
    <w:rsid w:val="00717959"/>
    <w:rsid w:val="00734D9F"/>
    <w:rsid w:val="00737465"/>
    <w:rsid w:val="00743BE6"/>
    <w:rsid w:val="007819E9"/>
    <w:rsid w:val="00790893"/>
    <w:rsid w:val="007C5C04"/>
    <w:rsid w:val="00816011"/>
    <w:rsid w:val="00834AA3"/>
    <w:rsid w:val="00856399"/>
    <w:rsid w:val="00894344"/>
    <w:rsid w:val="008B1510"/>
    <w:rsid w:val="008C60C2"/>
    <w:rsid w:val="008E6BAE"/>
    <w:rsid w:val="008F6586"/>
    <w:rsid w:val="00923D8B"/>
    <w:rsid w:val="0092535C"/>
    <w:rsid w:val="00931798"/>
    <w:rsid w:val="0099293B"/>
    <w:rsid w:val="009F711D"/>
    <w:rsid w:val="00A01DBE"/>
    <w:rsid w:val="00A07A7A"/>
    <w:rsid w:val="00A276E4"/>
    <w:rsid w:val="00A3175F"/>
    <w:rsid w:val="00A31EF8"/>
    <w:rsid w:val="00A41BAF"/>
    <w:rsid w:val="00A577E1"/>
    <w:rsid w:val="00A8279E"/>
    <w:rsid w:val="00A9251B"/>
    <w:rsid w:val="00AB0491"/>
    <w:rsid w:val="00AE322D"/>
    <w:rsid w:val="00B15437"/>
    <w:rsid w:val="00B30BAA"/>
    <w:rsid w:val="00BA4CCB"/>
    <w:rsid w:val="00C37B1D"/>
    <w:rsid w:val="00C53D12"/>
    <w:rsid w:val="00C619EC"/>
    <w:rsid w:val="00C8465E"/>
    <w:rsid w:val="00CB6643"/>
    <w:rsid w:val="00CB7D5B"/>
    <w:rsid w:val="00CD309C"/>
    <w:rsid w:val="00D13C52"/>
    <w:rsid w:val="00D4471B"/>
    <w:rsid w:val="00D94F66"/>
    <w:rsid w:val="00DD3F2B"/>
    <w:rsid w:val="00DD69BB"/>
    <w:rsid w:val="00DD70FF"/>
    <w:rsid w:val="00DE19F2"/>
    <w:rsid w:val="00DF1894"/>
    <w:rsid w:val="00DF1A39"/>
    <w:rsid w:val="00DF4039"/>
    <w:rsid w:val="00DF7061"/>
    <w:rsid w:val="00E05DEB"/>
    <w:rsid w:val="00E11B56"/>
    <w:rsid w:val="00E15300"/>
    <w:rsid w:val="00E53137"/>
    <w:rsid w:val="00E70C39"/>
    <w:rsid w:val="00E84425"/>
    <w:rsid w:val="00E9130C"/>
    <w:rsid w:val="00E93C68"/>
    <w:rsid w:val="00EC146E"/>
    <w:rsid w:val="00F0373E"/>
    <w:rsid w:val="00F56423"/>
    <w:rsid w:val="00F57F7E"/>
    <w:rsid w:val="00F62A5F"/>
    <w:rsid w:val="00F933D7"/>
    <w:rsid w:val="00FA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45756"/>
  <w15:chartTrackingRefBased/>
  <w15:docId w15:val="{4BF58F11-4ED0-E845-BF25-4D40FDDE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EF8"/>
    <w:rPr>
      <w:rFonts w:eastAsiaTheme="majorEastAsia" w:cstheme="majorBidi"/>
      <w:color w:val="272727" w:themeColor="text1" w:themeTint="D8"/>
    </w:rPr>
  </w:style>
  <w:style w:type="paragraph" w:styleId="Title">
    <w:name w:val="Title"/>
    <w:basedOn w:val="Normal"/>
    <w:next w:val="Normal"/>
    <w:link w:val="TitleChar"/>
    <w:uiPriority w:val="10"/>
    <w:qFormat/>
    <w:rsid w:val="00A31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EF8"/>
    <w:pPr>
      <w:spacing w:before="160"/>
      <w:jc w:val="center"/>
    </w:pPr>
    <w:rPr>
      <w:i/>
      <w:iCs/>
      <w:color w:val="404040" w:themeColor="text1" w:themeTint="BF"/>
    </w:rPr>
  </w:style>
  <w:style w:type="character" w:customStyle="1" w:styleId="QuoteChar">
    <w:name w:val="Quote Char"/>
    <w:basedOn w:val="DefaultParagraphFont"/>
    <w:link w:val="Quote"/>
    <w:uiPriority w:val="29"/>
    <w:rsid w:val="00A31EF8"/>
    <w:rPr>
      <w:i/>
      <w:iCs/>
      <w:color w:val="404040" w:themeColor="text1" w:themeTint="BF"/>
    </w:rPr>
  </w:style>
  <w:style w:type="paragraph" w:styleId="ListParagraph">
    <w:name w:val="List Paragraph"/>
    <w:basedOn w:val="Normal"/>
    <w:uiPriority w:val="34"/>
    <w:qFormat/>
    <w:rsid w:val="00A31EF8"/>
    <w:pPr>
      <w:ind w:left="720"/>
      <w:contextualSpacing/>
    </w:pPr>
  </w:style>
  <w:style w:type="character" w:styleId="IntenseEmphasis">
    <w:name w:val="Intense Emphasis"/>
    <w:basedOn w:val="DefaultParagraphFont"/>
    <w:uiPriority w:val="21"/>
    <w:qFormat/>
    <w:rsid w:val="00A31EF8"/>
    <w:rPr>
      <w:i/>
      <w:iCs/>
      <w:color w:val="0F4761" w:themeColor="accent1" w:themeShade="BF"/>
    </w:rPr>
  </w:style>
  <w:style w:type="paragraph" w:styleId="IntenseQuote">
    <w:name w:val="Intense Quote"/>
    <w:basedOn w:val="Normal"/>
    <w:next w:val="Normal"/>
    <w:link w:val="IntenseQuoteChar"/>
    <w:uiPriority w:val="30"/>
    <w:qFormat/>
    <w:rsid w:val="00A31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EF8"/>
    <w:rPr>
      <w:i/>
      <w:iCs/>
      <w:color w:val="0F4761" w:themeColor="accent1" w:themeShade="BF"/>
    </w:rPr>
  </w:style>
  <w:style w:type="character" w:styleId="IntenseReference">
    <w:name w:val="Intense Reference"/>
    <w:basedOn w:val="DefaultParagraphFont"/>
    <w:uiPriority w:val="32"/>
    <w:qFormat/>
    <w:rsid w:val="00A31EF8"/>
    <w:rPr>
      <w:b/>
      <w:bCs/>
      <w:smallCaps/>
      <w:color w:val="0F4761" w:themeColor="accent1" w:themeShade="BF"/>
      <w:spacing w:val="5"/>
    </w:rPr>
  </w:style>
  <w:style w:type="character" w:styleId="Hyperlink">
    <w:name w:val="Hyperlink"/>
    <w:basedOn w:val="DefaultParagraphFont"/>
    <w:uiPriority w:val="99"/>
    <w:unhideWhenUsed/>
    <w:rsid w:val="00A31EF8"/>
    <w:rPr>
      <w:color w:val="467886" w:themeColor="hyperlink"/>
      <w:u w:val="single"/>
    </w:rPr>
  </w:style>
  <w:style w:type="character" w:styleId="UnresolvedMention">
    <w:name w:val="Unresolved Mention"/>
    <w:basedOn w:val="DefaultParagraphFont"/>
    <w:uiPriority w:val="99"/>
    <w:semiHidden/>
    <w:unhideWhenUsed/>
    <w:rsid w:val="00A31EF8"/>
    <w:rPr>
      <w:color w:val="605E5C"/>
      <w:shd w:val="clear" w:color="auto" w:fill="E1DFDD"/>
    </w:rPr>
  </w:style>
  <w:style w:type="paragraph" w:styleId="Footer">
    <w:name w:val="footer"/>
    <w:basedOn w:val="Normal"/>
    <w:link w:val="FooterChar"/>
    <w:uiPriority w:val="99"/>
    <w:unhideWhenUsed/>
    <w:rsid w:val="00CB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643"/>
  </w:style>
  <w:style w:type="character" w:styleId="PageNumber">
    <w:name w:val="page number"/>
    <w:basedOn w:val="DefaultParagraphFont"/>
    <w:uiPriority w:val="99"/>
    <w:semiHidden/>
    <w:unhideWhenUsed/>
    <w:rsid w:val="00CB6643"/>
  </w:style>
  <w:style w:type="table" w:styleId="TableGrid">
    <w:name w:val="Table Grid"/>
    <w:basedOn w:val="TableNormal"/>
    <w:uiPriority w:val="59"/>
    <w:rsid w:val="00675703"/>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kwestlund/data-viz-summer-25" TargetMode="External"/><Relationship Id="rId13" Type="http://schemas.openxmlformats.org/officeDocument/2006/relationships/hyperlink" Target="https://wellbeing.jhu.edu/MentalHealthServic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westlund@jhu.edu" TargetMode="External"/><Relationship Id="rId12" Type="http://schemas.openxmlformats.org/officeDocument/2006/relationships/hyperlink" Target="https://bit.ly/bsphstudentsuppor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utlook.office365.com/book/SDSBSPH@live.johnshopkins.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publichealth.jhu.edu/Resources/PoliciesProcedures/ppm/Pages/default.aspx" TargetMode="External"/><Relationship Id="rId5" Type="http://schemas.openxmlformats.org/officeDocument/2006/relationships/footnotes" Target="footnotes.xml"/><Relationship Id="rId15" Type="http://schemas.openxmlformats.org/officeDocument/2006/relationships/hyperlink" Target="https://hunter.accessiblelearning.com/JHU/ApplicationStudent.aspx" TargetMode="External"/><Relationship Id="rId10" Type="http://schemas.openxmlformats.org/officeDocument/2006/relationships/hyperlink" Target="https://socviz.c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plus.jhu.edu/core/index.cfm/go/course.home/coid/23902/" TargetMode="External"/><Relationship Id="rId14" Type="http://schemas.openxmlformats.org/officeDocument/2006/relationships/hyperlink" Target="https://publichealth.jhu.edu/about/inclusion-diversity-anti-racism-and-equity-idare/student-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Westlund</dc:creator>
  <cp:keywords/>
  <dc:description/>
  <cp:lastModifiedBy>Erik Westlund</cp:lastModifiedBy>
  <cp:revision>120</cp:revision>
  <dcterms:created xsi:type="dcterms:W3CDTF">2025-06-02T20:41:00Z</dcterms:created>
  <dcterms:modified xsi:type="dcterms:W3CDTF">2025-06-06T19:32:00Z</dcterms:modified>
</cp:coreProperties>
</file>