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1C37" w14:textId="77777777" w:rsidR="00C859DF" w:rsidRPr="00C859DF" w:rsidRDefault="00C859DF" w:rsidP="00C859DF">
      <w:pPr>
        <w:widowControl/>
        <w:shd w:val="clear" w:color="auto" w:fill="FFFFFF"/>
        <w:spacing w:line="234" w:lineRule="atLeast"/>
        <w:jc w:val="center"/>
        <w:rPr>
          <w:rFonts w:eastAsia="Times New Roman" w:cs="Times New Roman"/>
          <w:color w:val="auto"/>
          <w:lang w:val="en-US" w:eastAsia="en-US"/>
        </w:rPr>
      </w:pPr>
      <w:r w:rsidRPr="00C859DF">
        <w:rPr>
          <w:rFonts w:eastAsia="Times New Roman" w:cs="Times New Roman"/>
          <w:b/>
          <w:bCs/>
          <w:color w:val="auto"/>
          <w:lang w:eastAsia="en-US"/>
        </w:rPr>
        <w:t>PHỤ LỤC 5</w:t>
      </w:r>
    </w:p>
    <w:p w14:paraId="4BAA5EB8" w14:textId="77777777" w:rsidR="00C859DF" w:rsidRPr="00C859DF" w:rsidRDefault="00C859DF" w:rsidP="00C859DF">
      <w:pPr>
        <w:widowControl/>
        <w:shd w:val="clear" w:color="auto" w:fill="FFFFFF"/>
        <w:spacing w:line="234" w:lineRule="atLeast"/>
        <w:jc w:val="center"/>
        <w:rPr>
          <w:rFonts w:eastAsia="Times New Roman" w:cs="Times New Roman"/>
          <w:color w:val="auto"/>
          <w:lang w:val="en-US" w:eastAsia="en-US"/>
        </w:rPr>
      </w:pPr>
      <w:r w:rsidRPr="00C859DF">
        <w:rPr>
          <w:rFonts w:eastAsia="Times New Roman" w:cs="Times New Roman"/>
          <w:i/>
          <w:iCs/>
          <w:color w:val="auto"/>
          <w:lang w:eastAsia="en-US"/>
        </w:rPr>
        <w:t>(Ban hành kèm theo Thông t</w:t>
      </w:r>
      <w:r w:rsidRPr="00C859DF">
        <w:rPr>
          <w:rFonts w:eastAsia="Times New Roman" w:cs="Times New Roman"/>
          <w:i/>
          <w:iCs/>
          <w:color w:val="auto"/>
          <w:lang w:val="en-US" w:eastAsia="en-US"/>
        </w:rPr>
        <w:t>ư </w:t>
      </w:r>
      <w:r w:rsidRPr="00C859DF">
        <w:rPr>
          <w:rFonts w:eastAsia="Times New Roman" w:cs="Times New Roman"/>
          <w:i/>
          <w:iCs/>
          <w:color w:val="auto"/>
          <w:lang w:eastAsia="en-US"/>
        </w:rPr>
        <w:t>số 86/2017/TT-BTC ngày 15/8/2017 của Bộ Tài chính hướng dẫn thực hiện một số điều của Nghị định số 88/2016/NĐ-CP ngày 01/07/2016 của Chính phủ về chương trình hưu trí bổ sung tự nguyện)</w:t>
      </w:r>
    </w:p>
    <w:p w14:paraId="620092AE" w14:textId="77777777" w:rsidR="00C859DF" w:rsidRPr="00C859DF" w:rsidRDefault="00C859DF" w:rsidP="00C859DF">
      <w:pPr>
        <w:widowControl/>
        <w:shd w:val="clear" w:color="auto" w:fill="FFFFFF"/>
        <w:spacing w:line="234" w:lineRule="atLeast"/>
        <w:jc w:val="center"/>
        <w:rPr>
          <w:rFonts w:eastAsia="Times New Roman" w:cs="Times New Roman"/>
          <w:color w:val="auto"/>
          <w:lang w:val="en-US" w:eastAsia="en-US"/>
        </w:rPr>
      </w:pPr>
      <w:r w:rsidRPr="00C859DF">
        <w:rPr>
          <w:rFonts w:eastAsia="Times New Roman" w:cs="Times New Roman"/>
          <w:b/>
          <w:bCs/>
          <w:color w:val="auto"/>
          <w:lang w:eastAsia="en-US"/>
        </w:rPr>
        <w:t>BÁO CÁO KẾT QUẢ THỰC HIỆN KIỂM TRA VÀ GIÁM SÁT CỦA NGÂN HÀNG GIÁM SÁT ĐỐI VỚI DOANH NGHIỆP QUẢN LÝ QUỸ TRONG VIỆC QUẢN LÝ QUỸ HƯU TRÍ</w:t>
      </w:r>
    </w:p>
    <w:tbl>
      <w:tblPr>
        <w:tblW w:w="8865" w:type="dxa"/>
        <w:tblCellSpacing w:w="0" w:type="dxa"/>
        <w:shd w:val="clear" w:color="auto" w:fill="FFFFFF"/>
        <w:tblCellMar>
          <w:left w:w="0" w:type="dxa"/>
          <w:right w:w="0" w:type="dxa"/>
        </w:tblCellMar>
        <w:tblLook w:val="04A0" w:firstRow="1" w:lastRow="0" w:firstColumn="1" w:lastColumn="0" w:noHBand="0" w:noVBand="1"/>
      </w:tblPr>
      <w:tblGrid>
        <w:gridCol w:w="2987"/>
        <w:gridCol w:w="5878"/>
      </w:tblGrid>
      <w:tr w:rsidR="00C859DF" w:rsidRPr="00C859DF" w14:paraId="4D05D105" w14:textId="77777777" w:rsidTr="00C859DF">
        <w:trPr>
          <w:tblCellSpacing w:w="0" w:type="dxa"/>
        </w:trPr>
        <w:tc>
          <w:tcPr>
            <w:tcW w:w="2988" w:type="dxa"/>
            <w:shd w:val="clear" w:color="auto" w:fill="FFFFFF"/>
            <w:tcMar>
              <w:top w:w="0" w:type="dxa"/>
              <w:left w:w="108" w:type="dxa"/>
              <w:bottom w:w="0" w:type="dxa"/>
              <w:right w:w="108" w:type="dxa"/>
            </w:tcMar>
            <w:hideMark/>
          </w:tcPr>
          <w:p w14:paraId="4B08153F" w14:textId="77777777" w:rsidR="00C859DF" w:rsidRPr="00C859DF" w:rsidRDefault="00C859DF" w:rsidP="00C859DF">
            <w:pPr>
              <w:widowControl/>
              <w:spacing w:before="120" w:after="120" w:line="234" w:lineRule="atLeast"/>
              <w:jc w:val="right"/>
              <w:rPr>
                <w:rFonts w:eastAsia="Times New Roman" w:cs="Times New Roman"/>
                <w:color w:val="auto"/>
                <w:lang w:val="en-US" w:eastAsia="en-US"/>
              </w:rPr>
            </w:pPr>
            <w:r w:rsidRPr="00C859DF">
              <w:rPr>
                <w:rFonts w:eastAsia="Times New Roman" w:cs="Times New Roman"/>
                <w:color w:val="auto"/>
                <w:lang w:eastAsia="en-US"/>
              </w:rPr>
              <w:t>Kính gửi:</w:t>
            </w:r>
          </w:p>
        </w:tc>
        <w:tc>
          <w:tcPr>
            <w:tcW w:w="5880" w:type="dxa"/>
            <w:shd w:val="clear" w:color="auto" w:fill="FFFFFF"/>
            <w:tcMar>
              <w:top w:w="0" w:type="dxa"/>
              <w:left w:w="108" w:type="dxa"/>
              <w:bottom w:w="0" w:type="dxa"/>
              <w:right w:w="108" w:type="dxa"/>
            </w:tcMar>
            <w:hideMark/>
          </w:tcPr>
          <w:p w14:paraId="1023EB48" w14:textId="77777777" w:rsidR="00C859DF" w:rsidRPr="00C859DF" w:rsidRDefault="00C859DF" w:rsidP="00C859DF">
            <w:pPr>
              <w:widowControl/>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Bộ Tài chính;</w:t>
            </w:r>
            <w:r w:rsidRPr="00C859DF">
              <w:rPr>
                <w:rFonts w:eastAsia="Times New Roman" w:cs="Times New Roman"/>
                <w:color w:val="auto"/>
                <w:lang w:val="en-US" w:eastAsia="en-US"/>
              </w:rPr>
              <w:br/>
            </w:r>
            <w:r w:rsidRPr="00C859DF">
              <w:rPr>
                <w:rFonts w:eastAsia="Times New Roman" w:cs="Times New Roman"/>
                <w:color w:val="auto"/>
                <w:lang w:eastAsia="en-US"/>
              </w:rPr>
              <w:t>- Bộ Lao động - Thương binh và Xã hội.</w:t>
            </w:r>
          </w:p>
        </w:tc>
      </w:tr>
    </w:tbl>
    <w:p w14:paraId="73307891"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Tên ngân hàng giám sát:...</w:t>
      </w:r>
    </w:p>
    <w:p w14:paraId="258E4505"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Địa chỉ:....</w:t>
      </w:r>
    </w:p>
    <w:p w14:paraId="5DFA8B7C"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Tên doanh nghiệp quản lý quỹ hưu trí được giám sát:...</w:t>
      </w:r>
    </w:p>
    <w:p w14:paraId="6FC5F680"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Địa chỉ: ....</w:t>
      </w:r>
    </w:p>
    <w:p w14:paraId="188E8044"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Giấy chứng nhận đủ điều kiện kinh doanh dịch vụ quản lý quỹ hưu trí số ... cấp ngày....</w:t>
      </w:r>
    </w:p>
    <w:p w14:paraId="2DDB7C9B"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Tên, địa chỉ các tổ chức cung cấp dịch vụ liên quan cho doanh nghiệp quản lý quỹ hưu trí (kế toán quỹ, quản trị tài khoản hưu trí cá nhân) (nếu có).</w:t>
      </w:r>
    </w:p>
    <w:p w14:paraId="58482039"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Kỳ báo cáo năm:....</w:t>
      </w:r>
    </w:p>
    <w:p w14:paraId="62090358"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b/>
          <w:bCs/>
          <w:color w:val="auto"/>
          <w:lang w:eastAsia="en-US"/>
        </w:rPr>
        <w:t>1. Về việc tuân thủ các nghĩa vụ của doanh nghiệp quản lý quỹ hưu trí</w:t>
      </w:r>
    </w:p>
    <w:p w14:paraId="0ED2429B" w14:textId="77777777" w:rsidR="00C859DF" w:rsidRPr="00C859DF" w:rsidRDefault="00C859DF" w:rsidP="00C859DF">
      <w:pPr>
        <w:widowControl/>
        <w:shd w:val="clear" w:color="auto" w:fill="FFFFFF"/>
        <w:spacing w:line="234" w:lineRule="atLeast"/>
        <w:rPr>
          <w:rFonts w:eastAsia="Times New Roman" w:cs="Times New Roman"/>
          <w:color w:val="auto"/>
          <w:lang w:val="en-US" w:eastAsia="en-US"/>
        </w:rPr>
      </w:pPr>
      <w:r w:rsidRPr="00C859DF">
        <w:rPr>
          <w:rFonts w:eastAsia="Times New Roman" w:cs="Times New Roman"/>
          <w:color w:val="auto"/>
          <w:lang w:eastAsia="en-US"/>
        </w:rPr>
        <w:t>- Đánh giá về việc tuân thủ các nghĩa vụ theo quy định của Nghị định số 88/2016/NĐ-CP đối với doanh nghiệp quản lý quỹ hưu trí và các tổ chức cung cấp dịch vụ về việc tuân thủ các nghĩa vụ theo quy định tại Nghị định số 88/2016/NĐ-CP , điều lệ quỹ, h</w:t>
      </w:r>
      <w:r w:rsidRPr="00C859DF">
        <w:rPr>
          <w:rFonts w:eastAsia="Times New Roman" w:cs="Times New Roman"/>
          <w:color w:val="auto"/>
          <w:lang w:val="en-US" w:eastAsia="en-US"/>
        </w:rPr>
        <w:t>ợ</w:t>
      </w:r>
      <w:r w:rsidRPr="00C859DF">
        <w:rPr>
          <w:rFonts w:eastAsia="Times New Roman" w:cs="Times New Roman"/>
          <w:color w:val="auto"/>
          <w:lang w:eastAsia="en-US"/>
        </w:rPr>
        <w:t>p đồng tham gia quỹ hưu trí, hợp đồng cung cấp các dịch vụ liên quan;</w:t>
      </w:r>
    </w:p>
    <w:p w14:paraId="3351DC8C"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Các trường hợp đền bù thiệt hại cho người tham gia quỹ (nếu có);</w:t>
      </w:r>
    </w:p>
    <w:p w14:paraId="6686AF17"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Về việc hạch toán và quản lý tách biệt tài sản của người tham gia quỹ và doanh nghiệp quản lý quỹ hưu trí.</w:t>
      </w:r>
    </w:p>
    <w:p w14:paraId="57F7E317"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b/>
          <w:bCs/>
          <w:color w:val="auto"/>
          <w:lang w:eastAsia="en-US"/>
        </w:rPr>
        <w:t>2. Về hoạt động đầu tư</w:t>
      </w:r>
    </w:p>
    <w:p w14:paraId="5BCFCC1C"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Đánh giá về việc tuân thủ chính sách đầu tư theo điều lệ quỹ, tuân thủ quyền và trách nhiệm của các bên liên quan đối với các giao dịch của quỹ hưu trí và tài khoản hưu trí cá nhân.</w:t>
      </w:r>
    </w:p>
    <w:p w14:paraId="4DD63772"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b/>
          <w:bCs/>
          <w:color w:val="auto"/>
          <w:lang w:eastAsia="en-US"/>
        </w:rPr>
        <w:t>3. Về việc quản lý tài khoản hưu trí cá nhân</w:t>
      </w:r>
    </w:p>
    <w:p w14:paraId="2E19F21F"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Đánh giá việc phân bổ kết quả đầu tư, xác định giá trị tài khoản hưu trí cá nhân.</w:t>
      </w:r>
    </w:p>
    <w:p w14:paraId="346A63B5"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b/>
          <w:bCs/>
          <w:color w:val="auto"/>
          <w:lang w:eastAsia="en-US"/>
        </w:rPr>
        <w:t>4. Về tình hình thực hiện hệ thống kiểm soát n</w:t>
      </w:r>
      <w:r w:rsidRPr="00C859DF">
        <w:rPr>
          <w:rFonts w:eastAsia="Times New Roman" w:cs="Times New Roman"/>
          <w:b/>
          <w:bCs/>
          <w:color w:val="auto"/>
          <w:lang w:val="en-US" w:eastAsia="en-US"/>
        </w:rPr>
        <w:t>ộ</w:t>
      </w:r>
      <w:r w:rsidRPr="00C859DF">
        <w:rPr>
          <w:rFonts w:eastAsia="Times New Roman" w:cs="Times New Roman"/>
          <w:b/>
          <w:bCs/>
          <w:color w:val="auto"/>
          <w:lang w:eastAsia="en-US"/>
        </w:rPr>
        <w:t>i b</w:t>
      </w:r>
      <w:r w:rsidRPr="00C859DF">
        <w:rPr>
          <w:rFonts w:eastAsia="Times New Roman" w:cs="Times New Roman"/>
          <w:b/>
          <w:bCs/>
          <w:color w:val="auto"/>
          <w:lang w:val="en-US" w:eastAsia="en-US"/>
        </w:rPr>
        <w:t>ộ </w:t>
      </w:r>
      <w:r w:rsidRPr="00C859DF">
        <w:rPr>
          <w:rFonts w:eastAsia="Times New Roman" w:cs="Times New Roman"/>
          <w:b/>
          <w:bCs/>
          <w:color w:val="auto"/>
          <w:lang w:eastAsia="en-US"/>
        </w:rPr>
        <w:t>của doanh nghiệp quản lý quỹ trong việc quản lý quỹ hưu trí</w:t>
      </w:r>
    </w:p>
    <w:p w14:paraId="707FE56D"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Đánh giá về tình hình thực hiện hệ thống kiểm soát nội bộ của doanh nghiệp quản lý quỹ trong việc quản lý quỹ hưu trí;</w:t>
      </w:r>
    </w:p>
    <w:p w14:paraId="75917C28"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Đánh giá về quy trình, phương pháp xác định giá trị tài sản ròng của quỹ hưu trí;</w:t>
      </w:r>
    </w:p>
    <w:p w14:paraId="69550A95"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Đánh giá về quy trình, phương pháp phân bổ kết quả đầu tư, xác định giá trị tài khoản hưu trí cá nhân.</w:t>
      </w:r>
    </w:p>
    <w:p w14:paraId="7E83E04C" w14:textId="77777777" w:rsidR="00C859DF" w:rsidRPr="00C859DF" w:rsidRDefault="00C859DF" w:rsidP="00C859DF">
      <w:pPr>
        <w:widowControl/>
        <w:shd w:val="clear" w:color="auto" w:fill="FFFFFF"/>
        <w:spacing w:before="120" w:after="120" w:line="234" w:lineRule="atLeast"/>
        <w:rPr>
          <w:rFonts w:eastAsia="Times New Roman" w:cs="Times New Roman"/>
          <w:color w:val="auto"/>
          <w:lang w:val="en-US" w:eastAsia="en-US"/>
        </w:rPr>
      </w:pPr>
      <w:r w:rsidRPr="00C859DF">
        <w:rPr>
          <w:rFonts w:eastAsia="Times New Roman" w:cs="Times New Roman"/>
          <w:color w:val="auto"/>
          <w:lang w:eastAsia="en-US"/>
        </w:rPr>
        <w:t>- Các rủi ro tiềm tàng (nếu có).</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859DF" w:rsidRPr="00C859DF" w14:paraId="219E57A6" w14:textId="77777777" w:rsidTr="00C859DF">
        <w:trPr>
          <w:tblCellSpacing w:w="0" w:type="dxa"/>
        </w:trPr>
        <w:tc>
          <w:tcPr>
            <w:tcW w:w="4428" w:type="dxa"/>
            <w:shd w:val="clear" w:color="auto" w:fill="FFFFFF"/>
            <w:tcMar>
              <w:top w:w="0" w:type="dxa"/>
              <w:left w:w="108" w:type="dxa"/>
              <w:bottom w:w="0" w:type="dxa"/>
              <w:right w:w="108" w:type="dxa"/>
            </w:tcMar>
            <w:hideMark/>
          </w:tcPr>
          <w:p w14:paraId="2440D293" w14:textId="77777777" w:rsidR="00C859DF" w:rsidRPr="00C859DF" w:rsidRDefault="00C859DF" w:rsidP="00C859DF">
            <w:pPr>
              <w:widowControl/>
              <w:rPr>
                <w:rFonts w:eastAsia="Times New Roman" w:cs="Times New Roman"/>
                <w:color w:val="auto"/>
                <w:lang w:val="en-US" w:eastAsia="en-US"/>
              </w:rPr>
            </w:pPr>
          </w:p>
        </w:tc>
        <w:tc>
          <w:tcPr>
            <w:tcW w:w="4428" w:type="dxa"/>
            <w:shd w:val="clear" w:color="auto" w:fill="FFFFFF"/>
            <w:tcMar>
              <w:top w:w="0" w:type="dxa"/>
              <w:left w:w="108" w:type="dxa"/>
              <w:bottom w:w="0" w:type="dxa"/>
              <w:right w:w="108" w:type="dxa"/>
            </w:tcMar>
            <w:hideMark/>
          </w:tcPr>
          <w:p w14:paraId="65DB1AC1" w14:textId="77777777" w:rsidR="00C859DF" w:rsidRPr="00C859DF" w:rsidRDefault="00C859DF" w:rsidP="00C859DF">
            <w:pPr>
              <w:widowControl/>
              <w:spacing w:before="120" w:after="120" w:line="234" w:lineRule="atLeast"/>
              <w:jc w:val="center"/>
              <w:rPr>
                <w:rFonts w:eastAsia="Times New Roman" w:cs="Times New Roman"/>
                <w:color w:val="auto"/>
                <w:lang w:val="en-US" w:eastAsia="en-US"/>
              </w:rPr>
            </w:pPr>
            <w:r w:rsidRPr="00C859DF">
              <w:rPr>
                <w:rFonts w:eastAsia="Times New Roman" w:cs="Times New Roman"/>
                <w:i/>
                <w:iCs/>
                <w:color w:val="auto"/>
                <w:lang w:val="en-US" w:eastAsia="en-US"/>
              </w:rPr>
              <w:t>……, ngày ….. tháng …. năm …..</w:t>
            </w:r>
            <w:r w:rsidRPr="00C859DF">
              <w:rPr>
                <w:rFonts w:eastAsia="Times New Roman" w:cs="Times New Roman"/>
                <w:i/>
                <w:iCs/>
                <w:color w:val="auto"/>
                <w:lang w:val="en-US" w:eastAsia="en-US"/>
              </w:rPr>
              <w:br/>
            </w:r>
            <w:r w:rsidRPr="00C859DF">
              <w:rPr>
                <w:rFonts w:eastAsia="Times New Roman" w:cs="Times New Roman"/>
                <w:b/>
                <w:bCs/>
                <w:color w:val="auto"/>
                <w:lang w:val="en-US" w:eastAsia="en-US"/>
              </w:rPr>
              <w:t xml:space="preserve">ĐẠI DIỆN CÓ THẨM QUYỀN CỦA </w:t>
            </w:r>
            <w:r w:rsidRPr="00C859DF">
              <w:rPr>
                <w:rFonts w:eastAsia="Times New Roman" w:cs="Times New Roman"/>
                <w:b/>
                <w:bCs/>
                <w:color w:val="auto"/>
                <w:lang w:val="en-US" w:eastAsia="en-US"/>
              </w:rPr>
              <w:lastRenderedPageBreak/>
              <w:t>NGÂN HÀNG GIÁM SÁT</w:t>
            </w:r>
            <w:r w:rsidRPr="00C859DF">
              <w:rPr>
                <w:rFonts w:eastAsia="Times New Roman" w:cs="Times New Roman"/>
                <w:b/>
                <w:bCs/>
                <w:color w:val="auto"/>
                <w:lang w:val="en-US" w:eastAsia="en-US"/>
              </w:rPr>
              <w:br/>
            </w:r>
            <w:r w:rsidRPr="00C859DF">
              <w:rPr>
                <w:rFonts w:eastAsia="Times New Roman" w:cs="Times New Roman"/>
                <w:i/>
                <w:iCs/>
                <w:color w:val="auto"/>
                <w:lang w:val="en-US" w:eastAsia="en-US"/>
              </w:rPr>
              <w:t>(Ký tên, ghi rõ họ và tên và đóng dấu)</w:t>
            </w:r>
          </w:p>
        </w:tc>
      </w:tr>
    </w:tbl>
    <w:p w14:paraId="5295469B" w14:textId="77777777" w:rsidR="0034093A" w:rsidRPr="00C859DF" w:rsidRDefault="0034093A" w:rsidP="00C859DF">
      <w:pPr>
        <w:rPr>
          <w:rFonts w:cs="Times New Roman"/>
          <w:color w:val="auto"/>
        </w:rPr>
      </w:pPr>
    </w:p>
    <w:p w14:paraId="43C29734" w14:textId="77777777" w:rsidR="00C859DF" w:rsidRPr="00C859DF" w:rsidRDefault="00C859DF" w:rsidP="00C859DF">
      <w:pPr>
        <w:rPr>
          <w:rFonts w:cs="Times New Roman"/>
          <w:color w:val="auto"/>
        </w:rPr>
      </w:pPr>
    </w:p>
    <w:p w14:paraId="1B2F7923" w14:textId="77777777" w:rsidR="00C859DF" w:rsidRPr="00C859DF" w:rsidRDefault="00C859DF" w:rsidP="00C859DF">
      <w:pPr>
        <w:rPr>
          <w:rFonts w:cs="Times New Roman"/>
          <w:color w:val="auto"/>
        </w:rPr>
      </w:pPr>
    </w:p>
    <w:p w14:paraId="074705FD" w14:textId="77777777" w:rsidR="00C859DF" w:rsidRPr="00C859DF" w:rsidRDefault="00C859DF" w:rsidP="00C859DF">
      <w:pPr>
        <w:rPr>
          <w:rFonts w:cs="Times New Roman"/>
          <w:color w:val="auto"/>
        </w:rPr>
      </w:pPr>
    </w:p>
    <w:p w14:paraId="4ABD7F52" w14:textId="77777777" w:rsidR="00C859DF" w:rsidRPr="00C859DF" w:rsidRDefault="00C859DF" w:rsidP="00C859DF">
      <w:pPr>
        <w:rPr>
          <w:rFonts w:cs="Times New Roman"/>
          <w:color w:val="auto"/>
        </w:rPr>
      </w:pPr>
    </w:p>
    <w:p w14:paraId="62CA4068" w14:textId="77777777" w:rsidR="00C859DF" w:rsidRPr="00C859DF" w:rsidRDefault="00C859DF" w:rsidP="00C859DF">
      <w:pPr>
        <w:rPr>
          <w:rFonts w:cs="Times New Roman"/>
          <w:color w:val="auto"/>
          <w:lang w:val="en-US"/>
        </w:rPr>
      </w:pPr>
      <w:r w:rsidRPr="00C859DF">
        <w:rPr>
          <w:rFonts w:cs="Times New Roman"/>
          <w:b/>
          <w:color w:val="auto"/>
          <w:lang w:val="en-US"/>
        </w:rPr>
        <w:t>Nguồn</w:t>
      </w:r>
      <w:r w:rsidRPr="00C859DF">
        <w:rPr>
          <w:rFonts w:cs="Times New Roman"/>
          <w:color w:val="auto"/>
          <w:lang w:val="en-US"/>
        </w:rPr>
        <w:t>: Thông tư 86/2017/TT-BTC</w:t>
      </w:r>
    </w:p>
    <w:sectPr w:rsidR="00C859DF" w:rsidRPr="00C859DF"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56FA" w14:textId="77777777" w:rsidR="00FD7C2A" w:rsidRDefault="00FD7C2A">
      <w:r>
        <w:separator/>
      </w:r>
    </w:p>
  </w:endnote>
  <w:endnote w:type="continuationSeparator" w:id="0">
    <w:p w14:paraId="6511C460" w14:textId="77777777" w:rsidR="00FD7C2A" w:rsidRDefault="00FD7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42C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742DF6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FBE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859DF">
      <w:rPr>
        <w:rStyle w:val="PageNumber"/>
        <w:noProof/>
        <w:color w:val="FFFFFF"/>
        <w:sz w:val="24"/>
        <w:szCs w:val="24"/>
      </w:rPr>
      <w:t>1</w:t>
    </w:r>
    <w:r>
      <w:rPr>
        <w:rStyle w:val="PageNumber"/>
        <w:color w:val="FFFFFF"/>
        <w:sz w:val="24"/>
        <w:szCs w:val="24"/>
      </w:rPr>
      <w:fldChar w:fldCharType="end"/>
    </w:r>
  </w:p>
  <w:p w14:paraId="7850CF1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C4803" w14:textId="77777777" w:rsidR="00FD7C2A" w:rsidRDefault="00FD7C2A">
      <w:r>
        <w:separator/>
      </w:r>
    </w:p>
  </w:footnote>
  <w:footnote w:type="continuationSeparator" w:id="0">
    <w:p w14:paraId="631F5B9F" w14:textId="77777777" w:rsidR="00FD7C2A" w:rsidRDefault="00FD7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3A5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BA6CE4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7CF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859DF">
      <w:rPr>
        <w:rStyle w:val="PageNumber"/>
        <w:noProof/>
        <w:color w:val="FFFFFF"/>
      </w:rPr>
      <w:t>1</w:t>
    </w:r>
    <w:r>
      <w:rPr>
        <w:rStyle w:val="PageNumber"/>
        <w:color w:val="FFFFFF"/>
      </w:rPr>
      <w:fldChar w:fldCharType="end"/>
    </w:r>
  </w:p>
  <w:p w14:paraId="65D4C1A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14711542">
    <w:abstractNumId w:val="6"/>
  </w:num>
  <w:num w:numId="2" w16cid:durableId="106581586">
    <w:abstractNumId w:val="5"/>
  </w:num>
  <w:num w:numId="3" w16cid:durableId="1488938381">
    <w:abstractNumId w:val="7"/>
  </w:num>
  <w:num w:numId="4" w16cid:durableId="228349604">
    <w:abstractNumId w:val="0"/>
  </w:num>
  <w:num w:numId="5" w16cid:durableId="188299680">
    <w:abstractNumId w:val="2"/>
  </w:num>
  <w:num w:numId="6" w16cid:durableId="1842044383">
    <w:abstractNumId w:val="1"/>
  </w:num>
  <w:num w:numId="7" w16cid:durableId="2095276197">
    <w:abstractNumId w:val="3"/>
  </w:num>
  <w:num w:numId="8" w16cid:durableId="157851941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5F39"/>
    <w:rsid w:val="005A72ED"/>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1AF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6737"/>
    <w:rsid w:val="00EA7F38"/>
    <w:rsid w:val="00EB2044"/>
    <w:rsid w:val="00EB2B11"/>
    <w:rsid w:val="00EB445A"/>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D7C2A"/>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91D9A"/>
  <w15:chartTrackingRefBased/>
  <w15:docId w15:val="{9BD2E91E-F279-47DB-9F56-3D56C821F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9BBF8-F921-4F50-AF75-728F3F6CE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2026-05-20T20:47:00Z</dcterms:created>
  <dcterms:modified xsi:type="dcterms:W3CDTF">2026-05-20T20:47:00Z</dcterms:modified>
</cp:coreProperties>
</file>