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FFA4A" w14:textId="77777777" w:rsidR="00C15B78" w:rsidRPr="00C15B78" w:rsidRDefault="00C15B78" w:rsidP="00C15B78">
      <w:pPr>
        <w:shd w:val="clear" w:color="auto" w:fill="FFFFFF"/>
        <w:spacing w:before="120" w:after="0" w:line="276" w:lineRule="auto"/>
        <w:jc w:val="center"/>
        <w:rPr>
          <w:rFonts w:ascii="Times New Roman" w:eastAsia="Times New Roman" w:hAnsi="Times New Roman"/>
          <w:color w:val="000000"/>
          <w:sz w:val="24"/>
          <w:szCs w:val="24"/>
        </w:rPr>
      </w:pPr>
      <w:r w:rsidRPr="00C15B78">
        <w:rPr>
          <w:rFonts w:ascii="Times New Roman" w:eastAsia="Times New Roman" w:hAnsi="Times New Roman"/>
          <w:b/>
          <w:bCs/>
          <w:color w:val="000000"/>
          <w:sz w:val="24"/>
          <w:szCs w:val="24"/>
          <w:lang w:val="vi-VN"/>
        </w:rPr>
        <w:t>PHIẾU SỐ 01</w:t>
      </w:r>
    </w:p>
    <w:p w14:paraId="5A41BE99" w14:textId="77777777" w:rsidR="00C15B78" w:rsidRPr="00C15B78" w:rsidRDefault="00C15B78" w:rsidP="00C15B78">
      <w:pPr>
        <w:shd w:val="clear" w:color="auto" w:fill="FFFFFF"/>
        <w:spacing w:before="120" w:after="0" w:line="276" w:lineRule="auto"/>
        <w:jc w:val="center"/>
        <w:rPr>
          <w:rFonts w:ascii="Times New Roman" w:eastAsia="Times New Roman" w:hAnsi="Times New Roman"/>
          <w:color w:val="000000"/>
          <w:sz w:val="24"/>
          <w:szCs w:val="24"/>
        </w:rPr>
      </w:pPr>
      <w:r w:rsidRPr="00C15B78">
        <w:rPr>
          <w:rFonts w:ascii="Times New Roman" w:eastAsia="Times New Roman" w:hAnsi="Times New Roman"/>
          <w:b/>
          <w:bCs/>
          <w:color w:val="000000"/>
          <w:sz w:val="24"/>
          <w:szCs w:val="24"/>
          <w:lang w:val="vi-VN"/>
        </w:rPr>
        <w:t>ĐÁNH GIÁ CÔNG CHỨC THAM GIA TIẾP NHẬN, GIẢI QUYẾT VÀ TRẢ KẾT QUẢ HỒ SƠ THỦ TỤC HÀNH CHÍNH TẠI CÁC ĐƠN VỊ THUỘC NGÂN HÀNG NHÀ NƯỚC</w:t>
      </w:r>
    </w:p>
    <w:p w14:paraId="2739EBFE" w14:textId="77777777" w:rsidR="00C15B78" w:rsidRPr="00C15B78" w:rsidRDefault="00C15B78" w:rsidP="00C15B78">
      <w:pPr>
        <w:shd w:val="clear" w:color="auto" w:fill="FFFFFF"/>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b/>
          <w:bCs/>
          <w:color w:val="000000"/>
          <w:sz w:val="24"/>
          <w:szCs w:val="24"/>
          <w:lang w:val="vi-VN"/>
        </w:rPr>
        <w:t>Quý ….., Năm …..</w:t>
      </w:r>
    </w:p>
    <w:p w14:paraId="741F4523" w14:textId="77777777" w:rsidR="00C15B78" w:rsidRPr="00C15B78" w:rsidRDefault="00C15B78" w:rsidP="00C15B78">
      <w:pPr>
        <w:shd w:val="clear" w:color="auto" w:fill="FFFFFF"/>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Họ tên công chức:</w:t>
      </w:r>
      <w:r w:rsidRPr="00C15B78">
        <w:rPr>
          <w:rFonts w:ascii="Times New Roman" w:eastAsia="Times New Roman" w:hAnsi="Times New Roman"/>
          <w:color w:val="000000"/>
          <w:sz w:val="24"/>
          <w:szCs w:val="24"/>
        </w:rPr>
        <w:t> ………………………………………………………………………………………</w:t>
      </w:r>
    </w:p>
    <w:p w14:paraId="6EAC560F" w14:textId="77777777" w:rsidR="00C15B78" w:rsidRPr="00C15B78" w:rsidRDefault="00C15B78" w:rsidP="00C15B78">
      <w:pPr>
        <w:shd w:val="clear" w:color="auto" w:fill="FFFFFF"/>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Tổng số hồ sơ đã trả kết quả trong kỳ:</w:t>
      </w:r>
      <w:r w:rsidRPr="00C15B78">
        <w:rPr>
          <w:rFonts w:ascii="Times New Roman" w:eastAsia="Times New Roman" w:hAnsi="Times New Roman"/>
          <w:color w:val="000000"/>
          <w:sz w:val="24"/>
          <w:szCs w:val="24"/>
        </w:rPr>
        <w:t> ……………………………………………………………….</w:t>
      </w:r>
    </w:p>
    <w:p w14:paraId="646E7183" w14:textId="77777777" w:rsidR="00C15B78" w:rsidRPr="00C15B78" w:rsidRDefault="00C15B78" w:rsidP="00C15B78">
      <w:pPr>
        <w:shd w:val="clear" w:color="auto" w:fill="FFFFFF"/>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Tổng số hồ sơ đã tiếp nhận và có thời hạn trả kết quả trong kỳ: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72"/>
        <w:gridCol w:w="4605"/>
        <w:gridCol w:w="768"/>
        <w:gridCol w:w="1246"/>
        <w:gridCol w:w="1438"/>
        <w:gridCol w:w="671"/>
      </w:tblGrid>
      <w:tr w:rsidR="00C15B78" w:rsidRPr="00C15B78" w14:paraId="70031154" w14:textId="77777777" w:rsidTr="00C15B78">
        <w:trPr>
          <w:tblCellSpacing w:w="0" w:type="dxa"/>
        </w:trPr>
        <w:tc>
          <w:tcPr>
            <w:tcW w:w="350" w:type="pct"/>
            <w:vMerge w:val="restart"/>
            <w:tcBorders>
              <w:top w:val="single" w:sz="8" w:space="0" w:color="auto"/>
              <w:left w:val="single" w:sz="8" w:space="0" w:color="auto"/>
              <w:bottom w:val="nil"/>
              <w:right w:val="nil"/>
            </w:tcBorders>
            <w:vAlign w:val="center"/>
            <w:hideMark/>
          </w:tcPr>
          <w:p w14:paraId="7C05965D"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b/>
                <w:bCs/>
                <w:color w:val="000000"/>
                <w:sz w:val="24"/>
                <w:szCs w:val="24"/>
                <w:lang w:val="vi-VN"/>
              </w:rPr>
              <w:t>STT</w:t>
            </w:r>
          </w:p>
        </w:tc>
        <w:tc>
          <w:tcPr>
            <w:tcW w:w="2400" w:type="pct"/>
            <w:vMerge w:val="restart"/>
            <w:tcBorders>
              <w:top w:val="single" w:sz="8" w:space="0" w:color="auto"/>
              <w:left w:val="single" w:sz="8" w:space="0" w:color="auto"/>
              <w:bottom w:val="nil"/>
              <w:right w:val="nil"/>
            </w:tcBorders>
            <w:vAlign w:val="center"/>
            <w:hideMark/>
          </w:tcPr>
          <w:p w14:paraId="7D665D93"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b/>
                <w:bCs/>
                <w:color w:val="000000"/>
                <w:sz w:val="24"/>
                <w:szCs w:val="24"/>
                <w:lang w:val="vi-VN"/>
              </w:rPr>
              <w:t>Tiêu chí/Tiêu chí thành phần</w:t>
            </w:r>
          </w:p>
        </w:tc>
        <w:tc>
          <w:tcPr>
            <w:tcW w:w="400" w:type="pct"/>
            <w:vMerge w:val="restart"/>
            <w:tcBorders>
              <w:top w:val="single" w:sz="8" w:space="0" w:color="auto"/>
              <w:left w:val="single" w:sz="8" w:space="0" w:color="auto"/>
              <w:bottom w:val="nil"/>
              <w:right w:val="nil"/>
            </w:tcBorders>
            <w:vAlign w:val="center"/>
            <w:hideMark/>
          </w:tcPr>
          <w:p w14:paraId="5B20D0E7"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b/>
                <w:bCs/>
                <w:color w:val="000000"/>
                <w:sz w:val="24"/>
                <w:szCs w:val="24"/>
                <w:lang w:val="vi-VN"/>
              </w:rPr>
              <w:t>Điểm tối đa</w:t>
            </w:r>
          </w:p>
        </w:tc>
        <w:tc>
          <w:tcPr>
            <w:tcW w:w="1400" w:type="pct"/>
            <w:gridSpan w:val="2"/>
            <w:tcBorders>
              <w:top w:val="single" w:sz="8" w:space="0" w:color="auto"/>
              <w:left w:val="single" w:sz="8" w:space="0" w:color="auto"/>
              <w:bottom w:val="nil"/>
              <w:right w:val="nil"/>
            </w:tcBorders>
            <w:vAlign w:val="center"/>
            <w:hideMark/>
          </w:tcPr>
          <w:p w14:paraId="14FB1B8A"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b/>
                <w:bCs/>
                <w:color w:val="000000"/>
                <w:sz w:val="24"/>
                <w:szCs w:val="24"/>
                <w:lang w:val="vi-VN"/>
              </w:rPr>
              <w:t>Điểm đánh giá thực tế</w:t>
            </w:r>
          </w:p>
        </w:tc>
        <w:tc>
          <w:tcPr>
            <w:tcW w:w="350" w:type="pct"/>
            <w:vMerge w:val="restart"/>
            <w:tcBorders>
              <w:top w:val="single" w:sz="8" w:space="0" w:color="auto"/>
              <w:left w:val="single" w:sz="8" w:space="0" w:color="auto"/>
              <w:bottom w:val="nil"/>
              <w:right w:val="single" w:sz="8" w:space="0" w:color="auto"/>
            </w:tcBorders>
            <w:vAlign w:val="center"/>
            <w:hideMark/>
          </w:tcPr>
          <w:p w14:paraId="005C4D03"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b/>
                <w:bCs/>
                <w:color w:val="000000"/>
                <w:sz w:val="24"/>
                <w:szCs w:val="24"/>
                <w:lang w:val="vi-VN"/>
              </w:rPr>
              <w:t>Ghi chú</w:t>
            </w:r>
          </w:p>
        </w:tc>
      </w:tr>
      <w:tr w:rsidR="00C15B78" w:rsidRPr="00C15B78" w14:paraId="197F59F3" w14:textId="77777777" w:rsidTr="00C15B78">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40BCA7EC" w14:textId="77777777" w:rsidR="00C15B78" w:rsidRPr="00C15B78" w:rsidRDefault="00C15B78" w:rsidP="00C15B78">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single" w:sz="8" w:space="0" w:color="auto"/>
              <w:bottom w:val="nil"/>
              <w:right w:val="nil"/>
            </w:tcBorders>
            <w:shd w:val="clear" w:color="auto" w:fill="FFFFFF"/>
            <w:vAlign w:val="center"/>
            <w:hideMark/>
          </w:tcPr>
          <w:p w14:paraId="2082D9E2" w14:textId="77777777" w:rsidR="00C15B78" w:rsidRPr="00C15B78" w:rsidRDefault="00C15B78" w:rsidP="00C15B78">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single" w:sz="8" w:space="0" w:color="auto"/>
              <w:bottom w:val="nil"/>
              <w:right w:val="nil"/>
            </w:tcBorders>
            <w:shd w:val="clear" w:color="auto" w:fill="FFFFFF"/>
            <w:vAlign w:val="center"/>
            <w:hideMark/>
          </w:tcPr>
          <w:p w14:paraId="56ED8213" w14:textId="77777777" w:rsidR="00C15B78" w:rsidRPr="00C15B78" w:rsidRDefault="00C15B78" w:rsidP="00C15B78">
            <w:pPr>
              <w:spacing w:before="120" w:after="0" w:line="276" w:lineRule="auto"/>
              <w:rPr>
                <w:rFonts w:ascii="Times New Roman" w:eastAsia="Times New Roman" w:hAnsi="Times New Roman"/>
                <w:color w:val="000000"/>
                <w:sz w:val="24"/>
                <w:szCs w:val="24"/>
              </w:rPr>
            </w:pPr>
          </w:p>
        </w:tc>
        <w:tc>
          <w:tcPr>
            <w:tcW w:w="650" w:type="pct"/>
            <w:tcBorders>
              <w:top w:val="single" w:sz="8" w:space="0" w:color="auto"/>
              <w:left w:val="single" w:sz="8" w:space="0" w:color="auto"/>
              <w:bottom w:val="nil"/>
              <w:right w:val="nil"/>
            </w:tcBorders>
            <w:vAlign w:val="center"/>
            <w:hideMark/>
          </w:tcPr>
          <w:p w14:paraId="70A3FDF9"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b/>
                <w:bCs/>
                <w:color w:val="000000"/>
                <w:sz w:val="24"/>
                <w:szCs w:val="24"/>
                <w:lang w:val="vi-VN"/>
              </w:rPr>
              <w:t>Tự đánh giá</w:t>
            </w:r>
          </w:p>
        </w:tc>
        <w:tc>
          <w:tcPr>
            <w:tcW w:w="700" w:type="pct"/>
            <w:tcBorders>
              <w:top w:val="single" w:sz="8" w:space="0" w:color="auto"/>
              <w:left w:val="single" w:sz="8" w:space="0" w:color="auto"/>
              <w:bottom w:val="nil"/>
              <w:right w:val="nil"/>
            </w:tcBorders>
            <w:vAlign w:val="center"/>
            <w:hideMark/>
          </w:tcPr>
          <w:p w14:paraId="5E5328F3"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b/>
                <w:bCs/>
                <w:color w:val="000000"/>
                <w:sz w:val="24"/>
                <w:szCs w:val="24"/>
                <w:lang w:val="vi-VN"/>
              </w:rPr>
              <w:t>Điểm thẩm định</w:t>
            </w:r>
          </w:p>
        </w:tc>
        <w:tc>
          <w:tcPr>
            <w:tcW w:w="0" w:type="auto"/>
            <w:vMerge/>
            <w:tcBorders>
              <w:top w:val="single" w:sz="8" w:space="0" w:color="auto"/>
              <w:left w:val="single" w:sz="8" w:space="0" w:color="auto"/>
              <w:bottom w:val="nil"/>
              <w:right w:val="single" w:sz="8" w:space="0" w:color="auto"/>
            </w:tcBorders>
            <w:shd w:val="clear" w:color="auto" w:fill="FFFFFF"/>
            <w:vAlign w:val="center"/>
            <w:hideMark/>
          </w:tcPr>
          <w:p w14:paraId="3756D6E8" w14:textId="77777777" w:rsidR="00C15B78" w:rsidRPr="00C15B78" w:rsidRDefault="00C15B78" w:rsidP="00C15B78">
            <w:pPr>
              <w:spacing w:before="120" w:after="0" w:line="276" w:lineRule="auto"/>
              <w:rPr>
                <w:rFonts w:ascii="Times New Roman" w:eastAsia="Times New Roman" w:hAnsi="Times New Roman"/>
                <w:color w:val="000000"/>
                <w:sz w:val="24"/>
                <w:szCs w:val="24"/>
              </w:rPr>
            </w:pPr>
          </w:p>
        </w:tc>
      </w:tr>
      <w:tr w:rsidR="00C15B78" w:rsidRPr="00C15B78" w14:paraId="4489B62E" w14:textId="77777777" w:rsidTr="00C15B78">
        <w:trPr>
          <w:tblCellSpacing w:w="0" w:type="dxa"/>
        </w:trPr>
        <w:tc>
          <w:tcPr>
            <w:tcW w:w="350" w:type="pct"/>
            <w:tcBorders>
              <w:top w:val="single" w:sz="8" w:space="0" w:color="auto"/>
              <w:left w:val="single" w:sz="8" w:space="0" w:color="auto"/>
              <w:bottom w:val="nil"/>
              <w:right w:val="nil"/>
            </w:tcBorders>
            <w:vAlign w:val="center"/>
            <w:hideMark/>
          </w:tcPr>
          <w:p w14:paraId="45AA86AF"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b/>
                <w:bCs/>
                <w:color w:val="000000"/>
                <w:sz w:val="24"/>
                <w:szCs w:val="24"/>
                <w:lang w:val="vi-VN"/>
              </w:rPr>
              <w:t>1</w:t>
            </w:r>
          </w:p>
        </w:tc>
        <w:tc>
          <w:tcPr>
            <w:tcW w:w="2400" w:type="pct"/>
            <w:tcBorders>
              <w:top w:val="single" w:sz="8" w:space="0" w:color="auto"/>
              <w:left w:val="single" w:sz="8" w:space="0" w:color="auto"/>
              <w:bottom w:val="nil"/>
              <w:right w:val="nil"/>
            </w:tcBorders>
            <w:vAlign w:val="center"/>
            <w:hideMark/>
          </w:tcPr>
          <w:p w14:paraId="39FDC563"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b/>
                <w:bCs/>
                <w:color w:val="000000"/>
                <w:sz w:val="24"/>
                <w:szCs w:val="24"/>
                <w:lang w:val="vi-VN"/>
              </w:rPr>
              <w:t>Tổng thời gian tiếp nhận, giải quyết và trả kết quả hồ sơ thủ tục hành chính</w:t>
            </w:r>
          </w:p>
        </w:tc>
        <w:tc>
          <w:tcPr>
            <w:tcW w:w="400" w:type="pct"/>
            <w:tcBorders>
              <w:top w:val="single" w:sz="8" w:space="0" w:color="auto"/>
              <w:left w:val="single" w:sz="8" w:space="0" w:color="auto"/>
              <w:bottom w:val="nil"/>
              <w:right w:val="nil"/>
            </w:tcBorders>
            <w:vAlign w:val="center"/>
            <w:hideMark/>
          </w:tcPr>
          <w:p w14:paraId="578A2A53"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b/>
                <w:bCs/>
                <w:color w:val="000000"/>
                <w:sz w:val="24"/>
                <w:szCs w:val="24"/>
                <w:lang w:val="vi-VN"/>
              </w:rPr>
              <w:t>2</w:t>
            </w:r>
          </w:p>
        </w:tc>
        <w:tc>
          <w:tcPr>
            <w:tcW w:w="650" w:type="pct"/>
            <w:tcBorders>
              <w:top w:val="single" w:sz="8" w:space="0" w:color="auto"/>
              <w:left w:val="single" w:sz="8" w:space="0" w:color="auto"/>
              <w:bottom w:val="nil"/>
              <w:right w:val="nil"/>
            </w:tcBorders>
            <w:vAlign w:val="center"/>
            <w:hideMark/>
          </w:tcPr>
          <w:p w14:paraId="6A86974E"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c>
          <w:tcPr>
            <w:tcW w:w="700" w:type="pct"/>
            <w:tcBorders>
              <w:top w:val="single" w:sz="8" w:space="0" w:color="auto"/>
              <w:left w:val="single" w:sz="8" w:space="0" w:color="auto"/>
              <w:bottom w:val="nil"/>
              <w:right w:val="nil"/>
            </w:tcBorders>
            <w:vAlign w:val="center"/>
            <w:hideMark/>
          </w:tcPr>
          <w:p w14:paraId="48676D6B"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c>
          <w:tcPr>
            <w:tcW w:w="350" w:type="pct"/>
            <w:tcBorders>
              <w:top w:val="single" w:sz="8" w:space="0" w:color="auto"/>
              <w:left w:val="single" w:sz="8" w:space="0" w:color="auto"/>
              <w:bottom w:val="nil"/>
              <w:right w:val="single" w:sz="8" w:space="0" w:color="auto"/>
            </w:tcBorders>
            <w:vAlign w:val="center"/>
            <w:hideMark/>
          </w:tcPr>
          <w:p w14:paraId="42DD72CB"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r>
      <w:tr w:rsidR="00C15B78" w:rsidRPr="00C15B78" w14:paraId="1B6F2751" w14:textId="77777777" w:rsidTr="00C15B78">
        <w:trPr>
          <w:tblCellSpacing w:w="0" w:type="dxa"/>
        </w:trPr>
        <w:tc>
          <w:tcPr>
            <w:tcW w:w="350" w:type="pct"/>
            <w:vMerge w:val="restart"/>
            <w:tcBorders>
              <w:top w:val="single" w:sz="8" w:space="0" w:color="auto"/>
              <w:left w:val="single" w:sz="8" w:space="0" w:color="auto"/>
              <w:bottom w:val="nil"/>
              <w:right w:val="nil"/>
            </w:tcBorders>
            <w:vAlign w:val="center"/>
            <w:hideMark/>
          </w:tcPr>
          <w:p w14:paraId="721ED3C8"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c>
          <w:tcPr>
            <w:tcW w:w="2400" w:type="pct"/>
            <w:tcBorders>
              <w:top w:val="single" w:sz="8" w:space="0" w:color="auto"/>
              <w:left w:val="single" w:sz="8" w:space="0" w:color="auto"/>
              <w:bottom w:val="nil"/>
              <w:right w:val="nil"/>
            </w:tcBorders>
            <w:vAlign w:val="center"/>
            <w:hideMark/>
          </w:tcPr>
          <w:p w14:paraId="23AF8E07"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Ít hơn thời gian quy định</w:t>
            </w:r>
          </w:p>
        </w:tc>
        <w:tc>
          <w:tcPr>
            <w:tcW w:w="400" w:type="pct"/>
            <w:tcBorders>
              <w:top w:val="single" w:sz="8" w:space="0" w:color="auto"/>
              <w:left w:val="single" w:sz="8" w:space="0" w:color="auto"/>
              <w:bottom w:val="nil"/>
              <w:right w:val="nil"/>
            </w:tcBorders>
            <w:vAlign w:val="center"/>
            <w:hideMark/>
          </w:tcPr>
          <w:p w14:paraId="20E86B73"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2</w:t>
            </w:r>
          </w:p>
        </w:tc>
        <w:tc>
          <w:tcPr>
            <w:tcW w:w="650" w:type="pct"/>
            <w:tcBorders>
              <w:top w:val="single" w:sz="8" w:space="0" w:color="auto"/>
              <w:left w:val="single" w:sz="8" w:space="0" w:color="auto"/>
              <w:bottom w:val="nil"/>
              <w:right w:val="nil"/>
            </w:tcBorders>
            <w:vAlign w:val="center"/>
            <w:hideMark/>
          </w:tcPr>
          <w:p w14:paraId="0F6EEA81"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c>
          <w:tcPr>
            <w:tcW w:w="700" w:type="pct"/>
            <w:tcBorders>
              <w:top w:val="single" w:sz="8" w:space="0" w:color="auto"/>
              <w:left w:val="single" w:sz="8" w:space="0" w:color="auto"/>
              <w:bottom w:val="nil"/>
              <w:right w:val="nil"/>
            </w:tcBorders>
            <w:vAlign w:val="center"/>
            <w:hideMark/>
          </w:tcPr>
          <w:p w14:paraId="2D271488"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c>
          <w:tcPr>
            <w:tcW w:w="350" w:type="pct"/>
            <w:tcBorders>
              <w:top w:val="single" w:sz="8" w:space="0" w:color="auto"/>
              <w:left w:val="single" w:sz="8" w:space="0" w:color="auto"/>
              <w:bottom w:val="nil"/>
              <w:right w:val="single" w:sz="8" w:space="0" w:color="auto"/>
            </w:tcBorders>
            <w:vAlign w:val="center"/>
            <w:hideMark/>
          </w:tcPr>
          <w:p w14:paraId="4F4B6BB0"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r>
      <w:tr w:rsidR="00C15B78" w:rsidRPr="00C15B78" w14:paraId="0713A9D1" w14:textId="77777777" w:rsidTr="00C15B78">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124402E1" w14:textId="77777777" w:rsidR="00C15B78" w:rsidRPr="00C15B78" w:rsidRDefault="00C15B78" w:rsidP="00C15B78">
            <w:pPr>
              <w:spacing w:before="120" w:after="0" w:line="276" w:lineRule="auto"/>
              <w:rPr>
                <w:rFonts w:ascii="Times New Roman" w:eastAsia="Times New Roman" w:hAnsi="Times New Roman"/>
                <w:color w:val="000000"/>
                <w:sz w:val="24"/>
                <w:szCs w:val="24"/>
              </w:rPr>
            </w:pPr>
          </w:p>
        </w:tc>
        <w:tc>
          <w:tcPr>
            <w:tcW w:w="2400" w:type="pct"/>
            <w:tcBorders>
              <w:top w:val="single" w:sz="8" w:space="0" w:color="auto"/>
              <w:left w:val="single" w:sz="8" w:space="0" w:color="auto"/>
              <w:bottom w:val="nil"/>
              <w:right w:val="nil"/>
            </w:tcBorders>
            <w:vAlign w:val="center"/>
            <w:hideMark/>
          </w:tcPr>
          <w:p w14:paraId="562F2AE8"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Đúng thời gian qu</w:t>
            </w:r>
            <w:r w:rsidRPr="00C15B78">
              <w:rPr>
                <w:rFonts w:ascii="Times New Roman" w:eastAsia="Times New Roman" w:hAnsi="Times New Roman"/>
                <w:color w:val="000000"/>
                <w:sz w:val="24"/>
                <w:szCs w:val="24"/>
              </w:rPr>
              <w:t>y </w:t>
            </w:r>
            <w:r w:rsidRPr="00C15B78">
              <w:rPr>
                <w:rFonts w:ascii="Times New Roman" w:eastAsia="Times New Roman" w:hAnsi="Times New Roman"/>
                <w:color w:val="000000"/>
                <w:sz w:val="24"/>
                <w:szCs w:val="24"/>
                <w:lang w:val="vi-VN"/>
              </w:rPr>
              <w:t>định</w:t>
            </w:r>
          </w:p>
        </w:tc>
        <w:tc>
          <w:tcPr>
            <w:tcW w:w="400" w:type="pct"/>
            <w:tcBorders>
              <w:top w:val="single" w:sz="8" w:space="0" w:color="auto"/>
              <w:left w:val="single" w:sz="8" w:space="0" w:color="auto"/>
              <w:bottom w:val="nil"/>
              <w:right w:val="nil"/>
            </w:tcBorders>
            <w:vAlign w:val="center"/>
            <w:hideMark/>
          </w:tcPr>
          <w:p w14:paraId="6A8DF6D2"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1</w:t>
            </w:r>
          </w:p>
        </w:tc>
        <w:tc>
          <w:tcPr>
            <w:tcW w:w="650" w:type="pct"/>
            <w:tcBorders>
              <w:top w:val="single" w:sz="8" w:space="0" w:color="auto"/>
              <w:left w:val="single" w:sz="8" w:space="0" w:color="auto"/>
              <w:bottom w:val="nil"/>
              <w:right w:val="nil"/>
            </w:tcBorders>
            <w:vAlign w:val="center"/>
            <w:hideMark/>
          </w:tcPr>
          <w:p w14:paraId="6342CFBF"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c>
          <w:tcPr>
            <w:tcW w:w="700" w:type="pct"/>
            <w:tcBorders>
              <w:top w:val="single" w:sz="8" w:space="0" w:color="auto"/>
              <w:left w:val="single" w:sz="8" w:space="0" w:color="auto"/>
              <w:bottom w:val="nil"/>
              <w:right w:val="nil"/>
            </w:tcBorders>
            <w:vAlign w:val="center"/>
            <w:hideMark/>
          </w:tcPr>
          <w:p w14:paraId="1528BD16"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c>
          <w:tcPr>
            <w:tcW w:w="350" w:type="pct"/>
            <w:tcBorders>
              <w:top w:val="single" w:sz="8" w:space="0" w:color="auto"/>
              <w:left w:val="single" w:sz="8" w:space="0" w:color="auto"/>
              <w:bottom w:val="nil"/>
              <w:right w:val="single" w:sz="8" w:space="0" w:color="auto"/>
            </w:tcBorders>
            <w:vAlign w:val="center"/>
            <w:hideMark/>
          </w:tcPr>
          <w:p w14:paraId="56EAC1A5"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r>
      <w:tr w:rsidR="00C15B78" w:rsidRPr="00C15B78" w14:paraId="296993F8" w14:textId="77777777" w:rsidTr="00C15B78">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1866665C" w14:textId="77777777" w:rsidR="00C15B78" w:rsidRPr="00C15B78" w:rsidRDefault="00C15B78" w:rsidP="00C15B78">
            <w:pPr>
              <w:spacing w:before="120" w:after="0" w:line="276" w:lineRule="auto"/>
              <w:rPr>
                <w:rFonts w:ascii="Times New Roman" w:eastAsia="Times New Roman" w:hAnsi="Times New Roman"/>
                <w:color w:val="000000"/>
                <w:sz w:val="24"/>
                <w:szCs w:val="24"/>
              </w:rPr>
            </w:pPr>
          </w:p>
        </w:tc>
        <w:tc>
          <w:tcPr>
            <w:tcW w:w="2400" w:type="pct"/>
            <w:tcBorders>
              <w:top w:val="single" w:sz="8" w:space="0" w:color="auto"/>
              <w:left w:val="single" w:sz="8" w:space="0" w:color="auto"/>
              <w:bottom w:val="nil"/>
              <w:right w:val="nil"/>
            </w:tcBorders>
            <w:vAlign w:val="center"/>
            <w:hideMark/>
          </w:tcPr>
          <w:p w14:paraId="2B718A13"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Nhiều hơn thời gian quy định</w:t>
            </w:r>
          </w:p>
        </w:tc>
        <w:tc>
          <w:tcPr>
            <w:tcW w:w="400" w:type="pct"/>
            <w:tcBorders>
              <w:top w:val="single" w:sz="8" w:space="0" w:color="auto"/>
              <w:left w:val="single" w:sz="8" w:space="0" w:color="auto"/>
              <w:bottom w:val="nil"/>
              <w:right w:val="nil"/>
            </w:tcBorders>
            <w:vAlign w:val="center"/>
            <w:hideMark/>
          </w:tcPr>
          <w:p w14:paraId="3DCACCA6"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0</w:t>
            </w:r>
          </w:p>
        </w:tc>
        <w:tc>
          <w:tcPr>
            <w:tcW w:w="650" w:type="pct"/>
            <w:tcBorders>
              <w:top w:val="single" w:sz="8" w:space="0" w:color="auto"/>
              <w:left w:val="single" w:sz="8" w:space="0" w:color="auto"/>
              <w:bottom w:val="nil"/>
              <w:right w:val="nil"/>
            </w:tcBorders>
            <w:vAlign w:val="center"/>
            <w:hideMark/>
          </w:tcPr>
          <w:p w14:paraId="2819DCAA"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c>
          <w:tcPr>
            <w:tcW w:w="700" w:type="pct"/>
            <w:tcBorders>
              <w:top w:val="single" w:sz="8" w:space="0" w:color="auto"/>
              <w:left w:val="single" w:sz="8" w:space="0" w:color="auto"/>
              <w:bottom w:val="nil"/>
              <w:right w:val="nil"/>
            </w:tcBorders>
            <w:vAlign w:val="center"/>
            <w:hideMark/>
          </w:tcPr>
          <w:p w14:paraId="03332FDE"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c>
          <w:tcPr>
            <w:tcW w:w="350" w:type="pct"/>
            <w:tcBorders>
              <w:top w:val="single" w:sz="8" w:space="0" w:color="auto"/>
              <w:left w:val="single" w:sz="8" w:space="0" w:color="auto"/>
              <w:bottom w:val="nil"/>
              <w:right w:val="single" w:sz="8" w:space="0" w:color="auto"/>
            </w:tcBorders>
            <w:vAlign w:val="center"/>
            <w:hideMark/>
          </w:tcPr>
          <w:p w14:paraId="5DBFFD69"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r>
      <w:tr w:rsidR="00C15B78" w:rsidRPr="00C15B78" w14:paraId="5ACEEDF7" w14:textId="77777777" w:rsidTr="00C15B78">
        <w:trPr>
          <w:tblCellSpacing w:w="0" w:type="dxa"/>
        </w:trPr>
        <w:tc>
          <w:tcPr>
            <w:tcW w:w="350" w:type="pct"/>
            <w:tcBorders>
              <w:top w:val="single" w:sz="8" w:space="0" w:color="auto"/>
              <w:left w:val="single" w:sz="8" w:space="0" w:color="auto"/>
              <w:bottom w:val="nil"/>
              <w:right w:val="nil"/>
            </w:tcBorders>
            <w:vAlign w:val="center"/>
            <w:hideMark/>
          </w:tcPr>
          <w:p w14:paraId="525E4E02"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b/>
                <w:bCs/>
                <w:color w:val="000000"/>
                <w:sz w:val="24"/>
                <w:szCs w:val="24"/>
                <w:lang w:val="vi-VN"/>
              </w:rPr>
              <w:t>2</w:t>
            </w:r>
          </w:p>
        </w:tc>
        <w:tc>
          <w:tcPr>
            <w:tcW w:w="2400" w:type="pct"/>
            <w:tcBorders>
              <w:top w:val="single" w:sz="8" w:space="0" w:color="auto"/>
              <w:left w:val="single" w:sz="8" w:space="0" w:color="auto"/>
              <w:bottom w:val="nil"/>
              <w:right w:val="nil"/>
            </w:tcBorders>
            <w:vAlign w:val="center"/>
            <w:hideMark/>
          </w:tcPr>
          <w:p w14:paraId="06E3966B"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b/>
                <w:bCs/>
                <w:color w:val="000000"/>
                <w:sz w:val="24"/>
                <w:szCs w:val="24"/>
                <w:lang w:val="vi-VN"/>
              </w:rPr>
              <w:t>Thời gian phối hợp giải quyết thủ tục hành chính</w:t>
            </w:r>
          </w:p>
        </w:tc>
        <w:tc>
          <w:tcPr>
            <w:tcW w:w="400" w:type="pct"/>
            <w:tcBorders>
              <w:top w:val="single" w:sz="8" w:space="0" w:color="auto"/>
              <w:left w:val="single" w:sz="8" w:space="0" w:color="auto"/>
              <w:bottom w:val="nil"/>
              <w:right w:val="nil"/>
            </w:tcBorders>
            <w:vAlign w:val="center"/>
            <w:hideMark/>
          </w:tcPr>
          <w:p w14:paraId="640E4BBA"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b/>
                <w:bCs/>
                <w:color w:val="000000"/>
                <w:sz w:val="24"/>
                <w:szCs w:val="24"/>
                <w:lang w:val="vi-VN"/>
              </w:rPr>
              <w:t>2</w:t>
            </w:r>
          </w:p>
        </w:tc>
        <w:tc>
          <w:tcPr>
            <w:tcW w:w="650" w:type="pct"/>
            <w:tcBorders>
              <w:top w:val="single" w:sz="8" w:space="0" w:color="auto"/>
              <w:left w:val="single" w:sz="8" w:space="0" w:color="auto"/>
              <w:bottom w:val="nil"/>
              <w:right w:val="nil"/>
            </w:tcBorders>
            <w:vAlign w:val="center"/>
            <w:hideMark/>
          </w:tcPr>
          <w:p w14:paraId="137C1C01"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c>
          <w:tcPr>
            <w:tcW w:w="700" w:type="pct"/>
            <w:tcBorders>
              <w:top w:val="single" w:sz="8" w:space="0" w:color="auto"/>
              <w:left w:val="single" w:sz="8" w:space="0" w:color="auto"/>
              <w:bottom w:val="nil"/>
              <w:right w:val="nil"/>
            </w:tcBorders>
            <w:vAlign w:val="center"/>
            <w:hideMark/>
          </w:tcPr>
          <w:p w14:paraId="1B4B0864"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c>
          <w:tcPr>
            <w:tcW w:w="350" w:type="pct"/>
            <w:tcBorders>
              <w:top w:val="single" w:sz="8" w:space="0" w:color="auto"/>
              <w:left w:val="single" w:sz="8" w:space="0" w:color="auto"/>
              <w:bottom w:val="nil"/>
              <w:right w:val="single" w:sz="8" w:space="0" w:color="auto"/>
            </w:tcBorders>
            <w:vAlign w:val="center"/>
            <w:hideMark/>
          </w:tcPr>
          <w:p w14:paraId="288D9662"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r>
      <w:tr w:rsidR="00C15B78" w:rsidRPr="00C15B78" w14:paraId="50E60D30" w14:textId="77777777" w:rsidTr="00C15B78">
        <w:trPr>
          <w:tblCellSpacing w:w="0" w:type="dxa"/>
        </w:trPr>
        <w:tc>
          <w:tcPr>
            <w:tcW w:w="350" w:type="pct"/>
            <w:vMerge w:val="restart"/>
            <w:tcBorders>
              <w:top w:val="single" w:sz="8" w:space="0" w:color="auto"/>
              <w:left w:val="single" w:sz="8" w:space="0" w:color="auto"/>
              <w:bottom w:val="nil"/>
              <w:right w:val="nil"/>
            </w:tcBorders>
            <w:vAlign w:val="center"/>
            <w:hideMark/>
          </w:tcPr>
          <w:p w14:paraId="4F8BF7B1"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c>
          <w:tcPr>
            <w:tcW w:w="2400" w:type="pct"/>
            <w:tcBorders>
              <w:top w:val="single" w:sz="8" w:space="0" w:color="auto"/>
              <w:left w:val="single" w:sz="8" w:space="0" w:color="auto"/>
              <w:bottom w:val="nil"/>
              <w:right w:val="nil"/>
            </w:tcBorders>
            <w:vAlign w:val="center"/>
            <w:hideMark/>
          </w:tcPr>
          <w:p w14:paraId="47AA2EC5"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Ít hơn thời gian quy định</w:t>
            </w:r>
          </w:p>
        </w:tc>
        <w:tc>
          <w:tcPr>
            <w:tcW w:w="400" w:type="pct"/>
            <w:tcBorders>
              <w:top w:val="single" w:sz="8" w:space="0" w:color="auto"/>
              <w:left w:val="single" w:sz="8" w:space="0" w:color="auto"/>
              <w:bottom w:val="nil"/>
              <w:right w:val="nil"/>
            </w:tcBorders>
            <w:vAlign w:val="center"/>
            <w:hideMark/>
          </w:tcPr>
          <w:p w14:paraId="66D123DD"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2</w:t>
            </w:r>
          </w:p>
        </w:tc>
        <w:tc>
          <w:tcPr>
            <w:tcW w:w="650" w:type="pct"/>
            <w:tcBorders>
              <w:top w:val="single" w:sz="8" w:space="0" w:color="auto"/>
              <w:left w:val="single" w:sz="8" w:space="0" w:color="auto"/>
              <w:bottom w:val="nil"/>
              <w:right w:val="nil"/>
            </w:tcBorders>
            <w:vAlign w:val="center"/>
            <w:hideMark/>
          </w:tcPr>
          <w:p w14:paraId="0059CF7F"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c>
          <w:tcPr>
            <w:tcW w:w="700" w:type="pct"/>
            <w:tcBorders>
              <w:top w:val="single" w:sz="8" w:space="0" w:color="auto"/>
              <w:left w:val="single" w:sz="8" w:space="0" w:color="auto"/>
              <w:bottom w:val="nil"/>
              <w:right w:val="nil"/>
            </w:tcBorders>
            <w:vAlign w:val="center"/>
            <w:hideMark/>
          </w:tcPr>
          <w:p w14:paraId="1079F86E"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c>
          <w:tcPr>
            <w:tcW w:w="350" w:type="pct"/>
            <w:tcBorders>
              <w:top w:val="single" w:sz="8" w:space="0" w:color="auto"/>
              <w:left w:val="single" w:sz="8" w:space="0" w:color="auto"/>
              <w:bottom w:val="nil"/>
              <w:right w:val="single" w:sz="8" w:space="0" w:color="auto"/>
            </w:tcBorders>
            <w:vAlign w:val="center"/>
            <w:hideMark/>
          </w:tcPr>
          <w:p w14:paraId="323C5DC5"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r>
      <w:tr w:rsidR="00C15B78" w:rsidRPr="00C15B78" w14:paraId="22A94824" w14:textId="77777777" w:rsidTr="00C15B78">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2494C674" w14:textId="77777777" w:rsidR="00C15B78" w:rsidRPr="00C15B78" w:rsidRDefault="00C15B78" w:rsidP="00C15B78">
            <w:pPr>
              <w:spacing w:before="120" w:after="0" w:line="276" w:lineRule="auto"/>
              <w:rPr>
                <w:rFonts w:ascii="Times New Roman" w:eastAsia="Times New Roman" w:hAnsi="Times New Roman"/>
                <w:color w:val="000000"/>
                <w:sz w:val="24"/>
                <w:szCs w:val="24"/>
              </w:rPr>
            </w:pPr>
          </w:p>
        </w:tc>
        <w:tc>
          <w:tcPr>
            <w:tcW w:w="2400" w:type="pct"/>
            <w:tcBorders>
              <w:top w:val="single" w:sz="8" w:space="0" w:color="auto"/>
              <w:left w:val="single" w:sz="8" w:space="0" w:color="auto"/>
              <w:bottom w:val="nil"/>
              <w:right w:val="nil"/>
            </w:tcBorders>
            <w:vAlign w:val="center"/>
            <w:hideMark/>
          </w:tcPr>
          <w:p w14:paraId="7A8E05B6"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Đúng thời gian quy định</w:t>
            </w:r>
          </w:p>
        </w:tc>
        <w:tc>
          <w:tcPr>
            <w:tcW w:w="400" w:type="pct"/>
            <w:tcBorders>
              <w:top w:val="single" w:sz="8" w:space="0" w:color="auto"/>
              <w:left w:val="single" w:sz="8" w:space="0" w:color="auto"/>
              <w:bottom w:val="nil"/>
              <w:right w:val="nil"/>
            </w:tcBorders>
            <w:vAlign w:val="center"/>
            <w:hideMark/>
          </w:tcPr>
          <w:p w14:paraId="357E1273"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1</w:t>
            </w:r>
          </w:p>
        </w:tc>
        <w:tc>
          <w:tcPr>
            <w:tcW w:w="650" w:type="pct"/>
            <w:tcBorders>
              <w:top w:val="single" w:sz="8" w:space="0" w:color="auto"/>
              <w:left w:val="single" w:sz="8" w:space="0" w:color="auto"/>
              <w:bottom w:val="nil"/>
              <w:right w:val="nil"/>
            </w:tcBorders>
            <w:vAlign w:val="center"/>
            <w:hideMark/>
          </w:tcPr>
          <w:p w14:paraId="40969F04"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c>
          <w:tcPr>
            <w:tcW w:w="700" w:type="pct"/>
            <w:tcBorders>
              <w:top w:val="single" w:sz="8" w:space="0" w:color="auto"/>
              <w:left w:val="single" w:sz="8" w:space="0" w:color="auto"/>
              <w:bottom w:val="nil"/>
              <w:right w:val="nil"/>
            </w:tcBorders>
            <w:vAlign w:val="center"/>
            <w:hideMark/>
          </w:tcPr>
          <w:p w14:paraId="6D5F431A"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c>
          <w:tcPr>
            <w:tcW w:w="350" w:type="pct"/>
            <w:tcBorders>
              <w:top w:val="single" w:sz="8" w:space="0" w:color="auto"/>
              <w:left w:val="single" w:sz="8" w:space="0" w:color="auto"/>
              <w:bottom w:val="nil"/>
              <w:right w:val="single" w:sz="8" w:space="0" w:color="auto"/>
            </w:tcBorders>
            <w:vAlign w:val="center"/>
            <w:hideMark/>
          </w:tcPr>
          <w:p w14:paraId="7A9E36CD"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r>
      <w:tr w:rsidR="00C15B78" w:rsidRPr="00C15B78" w14:paraId="184A418B" w14:textId="77777777" w:rsidTr="00C15B78">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534155AF" w14:textId="77777777" w:rsidR="00C15B78" w:rsidRPr="00C15B78" w:rsidRDefault="00C15B78" w:rsidP="00C15B78">
            <w:pPr>
              <w:spacing w:before="120" w:after="0" w:line="276" w:lineRule="auto"/>
              <w:rPr>
                <w:rFonts w:ascii="Times New Roman" w:eastAsia="Times New Roman" w:hAnsi="Times New Roman"/>
                <w:color w:val="000000"/>
                <w:sz w:val="24"/>
                <w:szCs w:val="24"/>
              </w:rPr>
            </w:pPr>
          </w:p>
        </w:tc>
        <w:tc>
          <w:tcPr>
            <w:tcW w:w="2400" w:type="pct"/>
            <w:tcBorders>
              <w:top w:val="single" w:sz="8" w:space="0" w:color="auto"/>
              <w:left w:val="single" w:sz="8" w:space="0" w:color="auto"/>
              <w:bottom w:val="nil"/>
              <w:right w:val="nil"/>
            </w:tcBorders>
            <w:vAlign w:val="center"/>
            <w:hideMark/>
          </w:tcPr>
          <w:p w14:paraId="0C80F4CB"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Nhiều hơn thời gian quy định</w:t>
            </w:r>
          </w:p>
        </w:tc>
        <w:tc>
          <w:tcPr>
            <w:tcW w:w="400" w:type="pct"/>
            <w:tcBorders>
              <w:top w:val="single" w:sz="8" w:space="0" w:color="auto"/>
              <w:left w:val="single" w:sz="8" w:space="0" w:color="auto"/>
              <w:bottom w:val="nil"/>
              <w:right w:val="nil"/>
            </w:tcBorders>
            <w:vAlign w:val="center"/>
            <w:hideMark/>
          </w:tcPr>
          <w:p w14:paraId="4A3BB788"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0</w:t>
            </w:r>
          </w:p>
        </w:tc>
        <w:tc>
          <w:tcPr>
            <w:tcW w:w="650" w:type="pct"/>
            <w:tcBorders>
              <w:top w:val="single" w:sz="8" w:space="0" w:color="auto"/>
              <w:left w:val="single" w:sz="8" w:space="0" w:color="auto"/>
              <w:bottom w:val="nil"/>
              <w:right w:val="nil"/>
            </w:tcBorders>
            <w:vAlign w:val="center"/>
            <w:hideMark/>
          </w:tcPr>
          <w:p w14:paraId="6FFCC78D"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c>
          <w:tcPr>
            <w:tcW w:w="700" w:type="pct"/>
            <w:tcBorders>
              <w:top w:val="single" w:sz="8" w:space="0" w:color="auto"/>
              <w:left w:val="single" w:sz="8" w:space="0" w:color="auto"/>
              <w:bottom w:val="nil"/>
              <w:right w:val="nil"/>
            </w:tcBorders>
            <w:vAlign w:val="center"/>
            <w:hideMark/>
          </w:tcPr>
          <w:p w14:paraId="4F8062AF"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c>
          <w:tcPr>
            <w:tcW w:w="350" w:type="pct"/>
            <w:tcBorders>
              <w:top w:val="single" w:sz="8" w:space="0" w:color="auto"/>
              <w:left w:val="single" w:sz="8" w:space="0" w:color="auto"/>
              <w:bottom w:val="nil"/>
              <w:right w:val="single" w:sz="8" w:space="0" w:color="auto"/>
            </w:tcBorders>
            <w:vAlign w:val="center"/>
            <w:hideMark/>
          </w:tcPr>
          <w:p w14:paraId="0B56B429"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r>
      <w:tr w:rsidR="00C15B78" w:rsidRPr="00C15B78" w14:paraId="6FA3BCA1" w14:textId="77777777" w:rsidTr="00C15B78">
        <w:trPr>
          <w:tblCellSpacing w:w="0" w:type="dxa"/>
        </w:trPr>
        <w:tc>
          <w:tcPr>
            <w:tcW w:w="350" w:type="pct"/>
            <w:tcBorders>
              <w:top w:val="single" w:sz="8" w:space="0" w:color="auto"/>
              <w:left w:val="single" w:sz="8" w:space="0" w:color="auto"/>
              <w:bottom w:val="nil"/>
              <w:right w:val="nil"/>
            </w:tcBorders>
            <w:vAlign w:val="center"/>
            <w:hideMark/>
          </w:tcPr>
          <w:p w14:paraId="73C13142"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b/>
                <w:bCs/>
                <w:color w:val="000000"/>
                <w:sz w:val="24"/>
                <w:szCs w:val="24"/>
                <w:lang w:val="vi-VN"/>
              </w:rPr>
              <w:t>3</w:t>
            </w:r>
          </w:p>
        </w:tc>
        <w:tc>
          <w:tcPr>
            <w:tcW w:w="2400" w:type="pct"/>
            <w:tcBorders>
              <w:top w:val="single" w:sz="8" w:space="0" w:color="auto"/>
              <w:left w:val="single" w:sz="8" w:space="0" w:color="auto"/>
              <w:bottom w:val="nil"/>
              <w:right w:val="nil"/>
            </w:tcBorders>
            <w:vAlign w:val="center"/>
            <w:hideMark/>
          </w:tcPr>
          <w:p w14:paraId="558BA0EB"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b/>
                <w:bCs/>
                <w:color w:val="000000"/>
                <w:sz w:val="24"/>
                <w:szCs w:val="24"/>
                <w:lang w:val="vi-VN"/>
              </w:rPr>
              <w:t>Số lần tổ chức, cá nhân phải liên hệ với nơi tiếp nhận hồ sơ </w:t>
            </w:r>
            <w:r w:rsidRPr="00C15B78">
              <w:rPr>
                <w:rFonts w:ascii="Times New Roman" w:eastAsia="Times New Roman" w:hAnsi="Times New Roman"/>
                <w:b/>
                <w:bCs/>
                <w:i/>
                <w:iCs/>
                <w:color w:val="000000"/>
                <w:sz w:val="24"/>
                <w:szCs w:val="24"/>
                <w:lang w:val="vi-VN"/>
              </w:rPr>
              <w:t>(trừ trường hợp nguyên nhân thuộc trách nhiệm của người nộp hồ sơ)</w:t>
            </w:r>
            <w:r w:rsidRPr="00C15B78">
              <w:rPr>
                <w:rFonts w:ascii="Times New Roman" w:eastAsia="Times New Roman" w:hAnsi="Times New Roman"/>
                <w:b/>
                <w:bCs/>
                <w:color w:val="000000"/>
                <w:sz w:val="24"/>
                <w:szCs w:val="24"/>
                <w:lang w:val="vi-VN"/>
              </w:rPr>
              <w:t> để hoàn thiện hồ sơ thủ tục hành chính (kể cả theo hình thức trực tuyến)</w:t>
            </w:r>
          </w:p>
        </w:tc>
        <w:tc>
          <w:tcPr>
            <w:tcW w:w="400" w:type="pct"/>
            <w:tcBorders>
              <w:top w:val="single" w:sz="8" w:space="0" w:color="auto"/>
              <w:left w:val="single" w:sz="8" w:space="0" w:color="auto"/>
              <w:bottom w:val="nil"/>
              <w:right w:val="nil"/>
            </w:tcBorders>
            <w:vAlign w:val="center"/>
            <w:hideMark/>
          </w:tcPr>
          <w:p w14:paraId="68A93F98"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b/>
                <w:bCs/>
                <w:color w:val="000000"/>
                <w:sz w:val="24"/>
                <w:szCs w:val="24"/>
                <w:lang w:val="vi-VN"/>
              </w:rPr>
              <w:t>2</w:t>
            </w:r>
          </w:p>
        </w:tc>
        <w:tc>
          <w:tcPr>
            <w:tcW w:w="650" w:type="pct"/>
            <w:tcBorders>
              <w:top w:val="single" w:sz="8" w:space="0" w:color="auto"/>
              <w:left w:val="single" w:sz="8" w:space="0" w:color="auto"/>
              <w:bottom w:val="nil"/>
              <w:right w:val="nil"/>
            </w:tcBorders>
            <w:vAlign w:val="center"/>
            <w:hideMark/>
          </w:tcPr>
          <w:p w14:paraId="3FF99D75"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b/>
                <w:bCs/>
                <w:color w:val="000000"/>
                <w:sz w:val="24"/>
                <w:szCs w:val="24"/>
                <w:lang w:val="vi-VN"/>
              </w:rPr>
              <w:t> </w:t>
            </w:r>
          </w:p>
        </w:tc>
        <w:tc>
          <w:tcPr>
            <w:tcW w:w="700" w:type="pct"/>
            <w:tcBorders>
              <w:top w:val="single" w:sz="8" w:space="0" w:color="auto"/>
              <w:left w:val="single" w:sz="8" w:space="0" w:color="auto"/>
              <w:bottom w:val="nil"/>
              <w:right w:val="nil"/>
            </w:tcBorders>
            <w:vAlign w:val="center"/>
            <w:hideMark/>
          </w:tcPr>
          <w:p w14:paraId="661A7947"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b/>
                <w:bCs/>
                <w:color w:val="000000"/>
                <w:sz w:val="24"/>
                <w:szCs w:val="24"/>
                <w:lang w:val="vi-VN"/>
              </w:rPr>
              <w:t> </w:t>
            </w:r>
          </w:p>
        </w:tc>
        <w:tc>
          <w:tcPr>
            <w:tcW w:w="350" w:type="pct"/>
            <w:tcBorders>
              <w:top w:val="single" w:sz="8" w:space="0" w:color="auto"/>
              <w:left w:val="single" w:sz="8" w:space="0" w:color="auto"/>
              <w:bottom w:val="nil"/>
              <w:right w:val="single" w:sz="8" w:space="0" w:color="auto"/>
            </w:tcBorders>
            <w:vAlign w:val="center"/>
            <w:hideMark/>
          </w:tcPr>
          <w:p w14:paraId="20AB8897"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b/>
                <w:bCs/>
                <w:color w:val="000000"/>
                <w:sz w:val="24"/>
                <w:szCs w:val="24"/>
                <w:lang w:val="vi-VN"/>
              </w:rPr>
              <w:t> </w:t>
            </w:r>
          </w:p>
        </w:tc>
      </w:tr>
      <w:tr w:rsidR="00C15B78" w:rsidRPr="00C15B78" w14:paraId="14A8EC41" w14:textId="77777777" w:rsidTr="00C15B78">
        <w:trPr>
          <w:tblCellSpacing w:w="0" w:type="dxa"/>
        </w:trPr>
        <w:tc>
          <w:tcPr>
            <w:tcW w:w="350" w:type="pct"/>
            <w:vMerge w:val="restart"/>
            <w:tcBorders>
              <w:top w:val="single" w:sz="8" w:space="0" w:color="auto"/>
              <w:left w:val="single" w:sz="8" w:space="0" w:color="auto"/>
              <w:bottom w:val="single" w:sz="8" w:space="0" w:color="auto"/>
              <w:right w:val="nil"/>
            </w:tcBorders>
            <w:vAlign w:val="center"/>
            <w:hideMark/>
          </w:tcPr>
          <w:p w14:paraId="77885A08"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lastRenderedPageBreak/>
              <w:t> </w:t>
            </w:r>
          </w:p>
        </w:tc>
        <w:tc>
          <w:tcPr>
            <w:tcW w:w="2400" w:type="pct"/>
            <w:tcBorders>
              <w:top w:val="single" w:sz="8" w:space="0" w:color="auto"/>
              <w:left w:val="single" w:sz="8" w:space="0" w:color="auto"/>
              <w:bottom w:val="nil"/>
              <w:right w:val="nil"/>
            </w:tcBorders>
            <w:vAlign w:val="center"/>
            <w:hideMark/>
          </w:tcPr>
          <w:p w14:paraId="44F2D453"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Không phải liên hệ lần nào</w:t>
            </w:r>
          </w:p>
        </w:tc>
        <w:tc>
          <w:tcPr>
            <w:tcW w:w="400" w:type="pct"/>
            <w:tcBorders>
              <w:top w:val="single" w:sz="8" w:space="0" w:color="auto"/>
              <w:left w:val="single" w:sz="8" w:space="0" w:color="auto"/>
              <w:bottom w:val="nil"/>
              <w:right w:val="nil"/>
            </w:tcBorders>
            <w:vAlign w:val="center"/>
            <w:hideMark/>
          </w:tcPr>
          <w:p w14:paraId="32C851E4"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2</w:t>
            </w:r>
          </w:p>
        </w:tc>
        <w:tc>
          <w:tcPr>
            <w:tcW w:w="650" w:type="pct"/>
            <w:tcBorders>
              <w:top w:val="single" w:sz="8" w:space="0" w:color="auto"/>
              <w:left w:val="single" w:sz="8" w:space="0" w:color="auto"/>
              <w:bottom w:val="nil"/>
              <w:right w:val="nil"/>
            </w:tcBorders>
            <w:vAlign w:val="center"/>
            <w:hideMark/>
          </w:tcPr>
          <w:p w14:paraId="49FA5438"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c>
          <w:tcPr>
            <w:tcW w:w="700" w:type="pct"/>
            <w:tcBorders>
              <w:top w:val="single" w:sz="8" w:space="0" w:color="auto"/>
              <w:left w:val="single" w:sz="8" w:space="0" w:color="auto"/>
              <w:bottom w:val="nil"/>
              <w:right w:val="nil"/>
            </w:tcBorders>
            <w:vAlign w:val="center"/>
            <w:hideMark/>
          </w:tcPr>
          <w:p w14:paraId="237DD19F"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c>
          <w:tcPr>
            <w:tcW w:w="350" w:type="pct"/>
            <w:tcBorders>
              <w:top w:val="single" w:sz="8" w:space="0" w:color="auto"/>
              <w:left w:val="single" w:sz="8" w:space="0" w:color="auto"/>
              <w:bottom w:val="nil"/>
              <w:right w:val="single" w:sz="8" w:space="0" w:color="auto"/>
            </w:tcBorders>
            <w:vAlign w:val="center"/>
            <w:hideMark/>
          </w:tcPr>
          <w:p w14:paraId="2CDF7C1B"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r>
      <w:tr w:rsidR="00C15B78" w:rsidRPr="00C15B78" w14:paraId="7AF5978E" w14:textId="77777777" w:rsidTr="00C15B78">
        <w:trPr>
          <w:tblCellSpacing w:w="0" w:type="dxa"/>
        </w:trPr>
        <w:tc>
          <w:tcPr>
            <w:tcW w:w="0" w:type="auto"/>
            <w:vMerge/>
            <w:tcBorders>
              <w:top w:val="single" w:sz="8" w:space="0" w:color="auto"/>
              <w:left w:val="single" w:sz="8" w:space="0" w:color="auto"/>
              <w:bottom w:val="single" w:sz="8" w:space="0" w:color="auto"/>
              <w:right w:val="nil"/>
            </w:tcBorders>
            <w:shd w:val="clear" w:color="auto" w:fill="FFFFFF"/>
            <w:vAlign w:val="center"/>
            <w:hideMark/>
          </w:tcPr>
          <w:p w14:paraId="2F7C484A" w14:textId="77777777" w:rsidR="00C15B78" w:rsidRPr="00C15B78" w:rsidRDefault="00C15B78" w:rsidP="00C15B78">
            <w:pPr>
              <w:spacing w:before="120" w:after="0" w:line="276" w:lineRule="auto"/>
              <w:rPr>
                <w:rFonts w:ascii="Times New Roman" w:eastAsia="Times New Roman" w:hAnsi="Times New Roman"/>
                <w:color w:val="000000"/>
                <w:sz w:val="24"/>
                <w:szCs w:val="24"/>
              </w:rPr>
            </w:pPr>
          </w:p>
        </w:tc>
        <w:tc>
          <w:tcPr>
            <w:tcW w:w="2400" w:type="pct"/>
            <w:tcBorders>
              <w:top w:val="single" w:sz="8" w:space="0" w:color="auto"/>
              <w:left w:val="single" w:sz="8" w:space="0" w:color="auto"/>
              <w:bottom w:val="single" w:sz="8" w:space="0" w:color="auto"/>
              <w:right w:val="nil"/>
            </w:tcBorders>
            <w:vAlign w:val="center"/>
            <w:hideMark/>
          </w:tcPr>
          <w:p w14:paraId="4DEE0E15"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Liên hệ một lần</w:t>
            </w:r>
          </w:p>
        </w:tc>
        <w:tc>
          <w:tcPr>
            <w:tcW w:w="400" w:type="pct"/>
            <w:tcBorders>
              <w:top w:val="single" w:sz="8" w:space="0" w:color="auto"/>
              <w:left w:val="single" w:sz="8" w:space="0" w:color="auto"/>
              <w:bottom w:val="single" w:sz="8" w:space="0" w:color="auto"/>
              <w:right w:val="nil"/>
            </w:tcBorders>
            <w:vAlign w:val="center"/>
            <w:hideMark/>
          </w:tcPr>
          <w:p w14:paraId="409F153E"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1</w:t>
            </w:r>
          </w:p>
        </w:tc>
        <w:tc>
          <w:tcPr>
            <w:tcW w:w="650" w:type="pct"/>
            <w:tcBorders>
              <w:top w:val="single" w:sz="8" w:space="0" w:color="auto"/>
              <w:left w:val="single" w:sz="8" w:space="0" w:color="auto"/>
              <w:bottom w:val="single" w:sz="8" w:space="0" w:color="auto"/>
              <w:right w:val="nil"/>
            </w:tcBorders>
            <w:vAlign w:val="center"/>
            <w:hideMark/>
          </w:tcPr>
          <w:p w14:paraId="31FECEA8"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c>
          <w:tcPr>
            <w:tcW w:w="700" w:type="pct"/>
            <w:tcBorders>
              <w:top w:val="single" w:sz="8" w:space="0" w:color="auto"/>
              <w:left w:val="single" w:sz="8" w:space="0" w:color="auto"/>
              <w:bottom w:val="single" w:sz="8" w:space="0" w:color="auto"/>
              <w:right w:val="nil"/>
            </w:tcBorders>
            <w:vAlign w:val="center"/>
            <w:hideMark/>
          </w:tcPr>
          <w:p w14:paraId="174AC26C"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c>
          <w:tcPr>
            <w:tcW w:w="350" w:type="pct"/>
            <w:tcBorders>
              <w:top w:val="single" w:sz="8" w:space="0" w:color="auto"/>
              <w:left w:val="single" w:sz="8" w:space="0" w:color="auto"/>
              <w:bottom w:val="single" w:sz="8" w:space="0" w:color="auto"/>
              <w:right w:val="single" w:sz="8" w:space="0" w:color="auto"/>
            </w:tcBorders>
            <w:vAlign w:val="center"/>
            <w:hideMark/>
          </w:tcPr>
          <w:p w14:paraId="2A117656"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r>
      <w:tr w:rsidR="00C15B78" w:rsidRPr="00C15B78" w14:paraId="22F6E4A7" w14:textId="77777777" w:rsidTr="00C15B78">
        <w:trPr>
          <w:tblCellSpacing w:w="0" w:type="dxa"/>
        </w:trPr>
        <w:tc>
          <w:tcPr>
            <w:tcW w:w="0" w:type="auto"/>
            <w:vMerge/>
            <w:tcBorders>
              <w:top w:val="single" w:sz="8" w:space="0" w:color="auto"/>
              <w:left w:val="single" w:sz="8" w:space="0" w:color="auto"/>
              <w:bottom w:val="single" w:sz="8" w:space="0" w:color="auto"/>
              <w:right w:val="nil"/>
            </w:tcBorders>
            <w:shd w:val="clear" w:color="auto" w:fill="FFFFFF"/>
            <w:vAlign w:val="center"/>
            <w:hideMark/>
          </w:tcPr>
          <w:p w14:paraId="3AC42C61" w14:textId="77777777" w:rsidR="00C15B78" w:rsidRPr="00C15B78" w:rsidRDefault="00C15B78" w:rsidP="00C15B78">
            <w:pPr>
              <w:spacing w:before="120" w:after="0" w:line="276" w:lineRule="auto"/>
              <w:rPr>
                <w:rFonts w:ascii="Times New Roman" w:eastAsia="Times New Roman" w:hAnsi="Times New Roman"/>
                <w:color w:val="000000"/>
                <w:sz w:val="24"/>
                <w:szCs w:val="24"/>
              </w:rPr>
            </w:pPr>
          </w:p>
        </w:tc>
        <w:tc>
          <w:tcPr>
            <w:tcW w:w="2400" w:type="pct"/>
            <w:tcBorders>
              <w:top w:val="nil"/>
              <w:left w:val="single" w:sz="8" w:space="0" w:color="auto"/>
              <w:bottom w:val="single" w:sz="8" w:space="0" w:color="auto"/>
              <w:right w:val="nil"/>
            </w:tcBorders>
            <w:vAlign w:val="center"/>
            <w:hideMark/>
          </w:tcPr>
          <w:p w14:paraId="12E76094"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Liên hệ hơn một lần (trừ trường hợp nguyên nhân thuộc trách nhiệm của tổ chức, cá nhân nộp hồ sơ)</w:t>
            </w:r>
          </w:p>
        </w:tc>
        <w:tc>
          <w:tcPr>
            <w:tcW w:w="400" w:type="pct"/>
            <w:tcBorders>
              <w:top w:val="nil"/>
              <w:left w:val="single" w:sz="8" w:space="0" w:color="auto"/>
              <w:bottom w:val="single" w:sz="8" w:space="0" w:color="auto"/>
              <w:right w:val="nil"/>
            </w:tcBorders>
            <w:vAlign w:val="center"/>
            <w:hideMark/>
          </w:tcPr>
          <w:p w14:paraId="5170D15A"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0</w:t>
            </w:r>
          </w:p>
        </w:tc>
        <w:tc>
          <w:tcPr>
            <w:tcW w:w="650" w:type="pct"/>
            <w:tcBorders>
              <w:top w:val="nil"/>
              <w:left w:val="single" w:sz="8" w:space="0" w:color="auto"/>
              <w:bottom w:val="single" w:sz="8" w:space="0" w:color="auto"/>
              <w:right w:val="nil"/>
            </w:tcBorders>
            <w:vAlign w:val="center"/>
            <w:hideMark/>
          </w:tcPr>
          <w:p w14:paraId="701C3D63"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c>
          <w:tcPr>
            <w:tcW w:w="700" w:type="pct"/>
            <w:tcBorders>
              <w:top w:val="nil"/>
              <w:left w:val="single" w:sz="8" w:space="0" w:color="auto"/>
              <w:bottom w:val="single" w:sz="8" w:space="0" w:color="auto"/>
              <w:right w:val="nil"/>
            </w:tcBorders>
            <w:vAlign w:val="center"/>
            <w:hideMark/>
          </w:tcPr>
          <w:p w14:paraId="066BFB0D"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c>
          <w:tcPr>
            <w:tcW w:w="350" w:type="pct"/>
            <w:tcBorders>
              <w:top w:val="nil"/>
              <w:left w:val="single" w:sz="8" w:space="0" w:color="auto"/>
              <w:bottom w:val="single" w:sz="8" w:space="0" w:color="auto"/>
              <w:right w:val="single" w:sz="8" w:space="0" w:color="auto"/>
            </w:tcBorders>
            <w:vAlign w:val="center"/>
            <w:hideMark/>
          </w:tcPr>
          <w:p w14:paraId="778ACD67"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r>
      <w:tr w:rsidR="00C15B78" w:rsidRPr="00C15B78" w14:paraId="29A99585" w14:textId="77777777" w:rsidTr="00C15B78">
        <w:trPr>
          <w:tblCellSpacing w:w="0" w:type="dxa"/>
        </w:trPr>
        <w:tc>
          <w:tcPr>
            <w:tcW w:w="350" w:type="pct"/>
            <w:tcBorders>
              <w:top w:val="nil"/>
              <w:left w:val="single" w:sz="8" w:space="0" w:color="auto"/>
              <w:bottom w:val="single" w:sz="8" w:space="0" w:color="auto"/>
              <w:right w:val="nil"/>
            </w:tcBorders>
            <w:vAlign w:val="center"/>
            <w:hideMark/>
          </w:tcPr>
          <w:p w14:paraId="74AE946F"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b/>
                <w:bCs/>
                <w:color w:val="000000"/>
                <w:sz w:val="24"/>
                <w:szCs w:val="24"/>
                <w:lang w:val="vi-VN"/>
              </w:rPr>
              <w:t>4</w:t>
            </w:r>
          </w:p>
        </w:tc>
        <w:tc>
          <w:tcPr>
            <w:tcW w:w="2400" w:type="pct"/>
            <w:tcBorders>
              <w:top w:val="nil"/>
              <w:left w:val="single" w:sz="8" w:space="0" w:color="auto"/>
              <w:bottom w:val="single" w:sz="8" w:space="0" w:color="auto"/>
              <w:right w:val="nil"/>
            </w:tcBorders>
            <w:vAlign w:val="center"/>
            <w:hideMark/>
          </w:tcPr>
          <w:p w14:paraId="6881683F"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b/>
                <w:bCs/>
                <w:color w:val="000000"/>
                <w:sz w:val="24"/>
                <w:szCs w:val="24"/>
                <w:lang w:val="vi-VN"/>
              </w:rPr>
              <w:t>Số lượng cơ quan, đơn vị, tổ chức phải liên hệ để hoàn thiện hồ sơ thủ tục hành chính </w:t>
            </w:r>
            <w:r w:rsidRPr="00C15B78">
              <w:rPr>
                <w:rFonts w:ascii="Times New Roman" w:eastAsia="Times New Roman" w:hAnsi="Times New Roman"/>
                <w:b/>
                <w:bCs/>
                <w:i/>
                <w:iCs/>
                <w:color w:val="000000"/>
                <w:sz w:val="24"/>
                <w:szCs w:val="24"/>
                <w:lang w:val="vi-VN"/>
              </w:rPr>
              <w:t>(kể cả theo hình thức trực tuyến)</w:t>
            </w:r>
          </w:p>
        </w:tc>
        <w:tc>
          <w:tcPr>
            <w:tcW w:w="400" w:type="pct"/>
            <w:tcBorders>
              <w:top w:val="nil"/>
              <w:left w:val="single" w:sz="8" w:space="0" w:color="auto"/>
              <w:bottom w:val="single" w:sz="8" w:space="0" w:color="auto"/>
              <w:right w:val="nil"/>
            </w:tcBorders>
            <w:vAlign w:val="center"/>
            <w:hideMark/>
          </w:tcPr>
          <w:p w14:paraId="478937E4"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b/>
                <w:bCs/>
                <w:color w:val="000000"/>
                <w:sz w:val="24"/>
                <w:szCs w:val="24"/>
                <w:lang w:val="vi-VN"/>
              </w:rPr>
              <w:t>2</w:t>
            </w:r>
          </w:p>
        </w:tc>
        <w:tc>
          <w:tcPr>
            <w:tcW w:w="650" w:type="pct"/>
            <w:tcBorders>
              <w:top w:val="nil"/>
              <w:left w:val="single" w:sz="8" w:space="0" w:color="auto"/>
              <w:bottom w:val="single" w:sz="8" w:space="0" w:color="auto"/>
              <w:right w:val="nil"/>
            </w:tcBorders>
            <w:vAlign w:val="center"/>
            <w:hideMark/>
          </w:tcPr>
          <w:p w14:paraId="7631FB18"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c>
          <w:tcPr>
            <w:tcW w:w="700" w:type="pct"/>
            <w:tcBorders>
              <w:top w:val="nil"/>
              <w:left w:val="single" w:sz="8" w:space="0" w:color="auto"/>
              <w:bottom w:val="single" w:sz="8" w:space="0" w:color="auto"/>
              <w:right w:val="nil"/>
            </w:tcBorders>
            <w:vAlign w:val="center"/>
            <w:hideMark/>
          </w:tcPr>
          <w:p w14:paraId="767ABCAE"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c>
          <w:tcPr>
            <w:tcW w:w="350" w:type="pct"/>
            <w:tcBorders>
              <w:top w:val="nil"/>
              <w:left w:val="single" w:sz="8" w:space="0" w:color="auto"/>
              <w:bottom w:val="single" w:sz="8" w:space="0" w:color="auto"/>
              <w:right w:val="single" w:sz="8" w:space="0" w:color="auto"/>
            </w:tcBorders>
            <w:vAlign w:val="center"/>
            <w:hideMark/>
          </w:tcPr>
          <w:p w14:paraId="5DA54DE1"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r>
      <w:tr w:rsidR="00C15B78" w:rsidRPr="00C15B78" w14:paraId="638CD652" w14:textId="77777777" w:rsidTr="00C15B78">
        <w:trPr>
          <w:tblCellSpacing w:w="0" w:type="dxa"/>
        </w:trPr>
        <w:tc>
          <w:tcPr>
            <w:tcW w:w="350" w:type="pct"/>
            <w:vMerge w:val="restart"/>
            <w:tcBorders>
              <w:top w:val="nil"/>
              <w:left w:val="single" w:sz="8" w:space="0" w:color="auto"/>
              <w:bottom w:val="single" w:sz="8" w:space="0" w:color="auto"/>
              <w:right w:val="nil"/>
            </w:tcBorders>
            <w:vAlign w:val="center"/>
            <w:hideMark/>
          </w:tcPr>
          <w:p w14:paraId="69D9CE8E"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c>
          <w:tcPr>
            <w:tcW w:w="2400" w:type="pct"/>
            <w:tcBorders>
              <w:top w:val="nil"/>
              <w:left w:val="single" w:sz="8" w:space="0" w:color="auto"/>
              <w:bottom w:val="single" w:sz="8" w:space="0" w:color="auto"/>
              <w:right w:val="nil"/>
            </w:tcBorders>
            <w:vAlign w:val="center"/>
            <w:hideMark/>
          </w:tcPr>
          <w:p w14:paraId="63D6031D"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Không phải liên hệ với cơ quan, đơn vị, tổ chức để hoàn thiện hồ sơ thủ tục hành chính</w:t>
            </w:r>
          </w:p>
        </w:tc>
        <w:tc>
          <w:tcPr>
            <w:tcW w:w="400" w:type="pct"/>
            <w:tcBorders>
              <w:top w:val="nil"/>
              <w:left w:val="single" w:sz="8" w:space="0" w:color="auto"/>
              <w:bottom w:val="single" w:sz="8" w:space="0" w:color="auto"/>
              <w:right w:val="nil"/>
            </w:tcBorders>
            <w:vAlign w:val="center"/>
            <w:hideMark/>
          </w:tcPr>
          <w:p w14:paraId="24424E19"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2</w:t>
            </w:r>
          </w:p>
        </w:tc>
        <w:tc>
          <w:tcPr>
            <w:tcW w:w="650" w:type="pct"/>
            <w:tcBorders>
              <w:top w:val="nil"/>
              <w:left w:val="single" w:sz="8" w:space="0" w:color="auto"/>
              <w:bottom w:val="single" w:sz="8" w:space="0" w:color="auto"/>
              <w:right w:val="nil"/>
            </w:tcBorders>
            <w:vAlign w:val="center"/>
            <w:hideMark/>
          </w:tcPr>
          <w:p w14:paraId="1EBAD167"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c>
          <w:tcPr>
            <w:tcW w:w="700" w:type="pct"/>
            <w:tcBorders>
              <w:top w:val="nil"/>
              <w:left w:val="single" w:sz="8" w:space="0" w:color="auto"/>
              <w:bottom w:val="single" w:sz="8" w:space="0" w:color="auto"/>
              <w:right w:val="nil"/>
            </w:tcBorders>
            <w:vAlign w:val="center"/>
            <w:hideMark/>
          </w:tcPr>
          <w:p w14:paraId="0000185D"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c>
          <w:tcPr>
            <w:tcW w:w="350" w:type="pct"/>
            <w:tcBorders>
              <w:top w:val="nil"/>
              <w:left w:val="single" w:sz="8" w:space="0" w:color="auto"/>
              <w:bottom w:val="single" w:sz="8" w:space="0" w:color="auto"/>
              <w:right w:val="single" w:sz="8" w:space="0" w:color="auto"/>
            </w:tcBorders>
            <w:vAlign w:val="center"/>
            <w:hideMark/>
          </w:tcPr>
          <w:p w14:paraId="1EB36740"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r>
      <w:tr w:rsidR="00C15B78" w:rsidRPr="00C15B78" w14:paraId="1D68BDD7" w14:textId="77777777" w:rsidTr="00C15B78">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2D06E7C6" w14:textId="77777777" w:rsidR="00C15B78" w:rsidRPr="00C15B78" w:rsidRDefault="00C15B78" w:rsidP="00C15B78">
            <w:pPr>
              <w:spacing w:before="120" w:after="0" w:line="276" w:lineRule="auto"/>
              <w:rPr>
                <w:rFonts w:ascii="Times New Roman" w:eastAsia="Times New Roman" w:hAnsi="Times New Roman"/>
                <w:color w:val="000000"/>
                <w:sz w:val="24"/>
                <w:szCs w:val="24"/>
              </w:rPr>
            </w:pPr>
          </w:p>
        </w:tc>
        <w:tc>
          <w:tcPr>
            <w:tcW w:w="2400" w:type="pct"/>
            <w:tcBorders>
              <w:top w:val="nil"/>
              <w:left w:val="single" w:sz="8" w:space="0" w:color="auto"/>
              <w:bottom w:val="single" w:sz="8" w:space="0" w:color="auto"/>
              <w:right w:val="nil"/>
            </w:tcBorders>
            <w:vAlign w:val="center"/>
            <w:hideMark/>
          </w:tcPr>
          <w:p w14:paraId="7CF6648D"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Phải liên hệ với 01 cơ quan, đơn vị, tổ chức là bộ phận một cửa để hoàn thiện hồ sơ thủ tục hành chính</w:t>
            </w:r>
          </w:p>
        </w:tc>
        <w:tc>
          <w:tcPr>
            <w:tcW w:w="400" w:type="pct"/>
            <w:tcBorders>
              <w:top w:val="nil"/>
              <w:left w:val="single" w:sz="8" w:space="0" w:color="auto"/>
              <w:bottom w:val="single" w:sz="8" w:space="0" w:color="auto"/>
              <w:right w:val="nil"/>
            </w:tcBorders>
            <w:vAlign w:val="center"/>
            <w:hideMark/>
          </w:tcPr>
          <w:p w14:paraId="137C7C52"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1</w:t>
            </w:r>
          </w:p>
        </w:tc>
        <w:tc>
          <w:tcPr>
            <w:tcW w:w="650" w:type="pct"/>
            <w:tcBorders>
              <w:top w:val="nil"/>
              <w:left w:val="single" w:sz="8" w:space="0" w:color="auto"/>
              <w:bottom w:val="single" w:sz="8" w:space="0" w:color="auto"/>
              <w:right w:val="nil"/>
            </w:tcBorders>
            <w:vAlign w:val="center"/>
            <w:hideMark/>
          </w:tcPr>
          <w:p w14:paraId="29BA1C73"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c>
          <w:tcPr>
            <w:tcW w:w="700" w:type="pct"/>
            <w:tcBorders>
              <w:top w:val="nil"/>
              <w:left w:val="single" w:sz="8" w:space="0" w:color="auto"/>
              <w:bottom w:val="single" w:sz="8" w:space="0" w:color="auto"/>
              <w:right w:val="nil"/>
            </w:tcBorders>
            <w:vAlign w:val="center"/>
            <w:hideMark/>
          </w:tcPr>
          <w:p w14:paraId="63E22644"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c>
          <w:tcPr>
            <w:tcW w:w="350" w:type="pct"/>
            <w:tcBorders>
              <w:top w:val="nil"/>
              <w:left w:val="single" w:sz="8" w:space="0" w:color="auto"/>
              <w:bottom w:val="single" w:sz="8" w:space="0" w:color="auto"/>
              <w:right w:val="single" w:sz="8" w:space="0" w:color="auto"/>
            </w:tcBorders>
            <w:vAlign w:val="center"/>
            <w:hideMark/>
          </w:tcPr>
          <w:p w14:paraId="75E2EB45"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r>
      <w:tr w:rsidR="00C15B78" w:rsidRPr="00C15B78" w14:paraId="6075A573" w14:textId="77777777" w:rsidTr="00C15B78">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564799AD" w14:textId="77777777" w:rsidR="00C15B78" w:rsidRPr="00C15B78" w:rsidRDefault="00C15B78" w:rsidP="00C15B78">
            <w:pPr>
              <w:spacing w:before="120" w:after="0" w:line="276" w:lineRule="auto"/>
              <w:rPr>
                <w:rFonts w:ascii="Times New Roman" w:eastAsia="Times New Roman" w:hAnsi="Times New Roman"/>
                <w:color w:val="000000"/>
                <w:sz w:val="24"/>
                <w:szCs w:val="24"/>
              </w:rPr>
            </w:pPr>
          </w:p>
        </w:tc>
        <w:tc>
          <w:tcPr>
            <w:tcW w:w="2400" w:type="pct"/>
            <w:tcBorders>
              <w:top w:val="nil"/>
              <w:left w:val="single" w:sz="8" w:space="0" w:color="auto"/>
              <w:bottom w:val="single" w:sz="8" w:space="0" w:color="auto"/>
              <w:right w:val="nil"/>
            </w:tcBorders>
            <w:vAlign w:val="center"/>
            <w:hideMark/>
          </w:tcPr>
          <w:p w14:paraId="13DF6102"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Phải liên hệ với nhiều hơn 01 cơ quan, đơn vị, tổ chức để hoàn thiện hồ sơ thủ tục hành chính</w:t>
            </w:r>
          </w:p>
        </w:tc>
        <w:tc>
          <w:tcPr>
            <w:tcW w:w="400" w:type="pct"/>
            <w:tcBorders>
              <w:top w:val="nil"/>
              <w:left w:val="single" w:sz="8" w:space="0" w:color="auto"/>
              <w:bottom w:val="single" w:sz="8" w:space="0" w:color="auto"/>
              <w:right w:val="nil"/>
            </w:tcBorders>
            <w:vAlign w:val="center"/>
            <w:hideMark/>
          </w:tcPr>
          <w:p w14:paraId="7B99576D"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0</w:t>
            </w:r>
          </w:p>
        </w:tc>
        <w:tc>
          <w:tcPr>
            <w:tcW w:w="650" w:type="pct"/>
            <w:tcBorders>
              <w:top w:val="nil"/>
              <w:left w:val="single" w:sz="8" w:space="0" w:color="auto"/>
              <w:bottom w:val="single" w:sz="8" w:space="0" w:color="auto"/>
              <w:right w:val="nil"/>
            </w:tcBorders>
            <w:vAlign w:val="center"/>
            <w:hideMark/>
          </w:tcPr>
          <w:p w14:paraId="44BBD84C"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c>
          <w:tcPr>
            <w:tcW w:w="700" w:type="pct"/>
            <w:tcBorders>
              <w:top w:val="nil"/>
              <w:left w:val="single" w:sz="8" w:space="0" w:color="auto"/>
              <w:bottom w:val="single" w:sz="8" w:space="0" w:color="auto"/>
              <w:right w:val="nil"/>
            </w:tcBorders>
            <w:vAlign w:val="center"/>
            <w:hideMark/>
          </w:tcPr>
          <w:p w14:paraId="7565C46E"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c>
          <w:tcPr>
            <w:tcW w:w="350" w:type="pct"/>
            <w:tcBorders>
              <w:top w:val="nil"/>
              <w:left w:val="single" w:sz="8" w:space="0" w:color="auto"/>
              <w:bottom w:val="single" w:sz="8" w:space="0" w:color="auto"/>
              <w:right w:val="single" w:sz="8" w:space="0" w:color="auto"/>
            </w:tcBorders>
            <w:vAlign w:val="center"/>
            <w:hideMark/>
          </w:tcPr>
          <w:p w14:paraId="5C2DB495"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r>
      <w:tr w:rsidR="00C15B78" w:rsidRPr="00C15B78" w14:paraId="7B8C4EC1" w14:textId="77777777" w:rsidTr="00C15B78">
        <w:trPr>
          <w:tblCellSpacing w:w="0" w:type="dxa"/>
        </w:trPr>
        <w:tc>
          <w:tcPr>
            <w:tcW w:w="350" w:type="pct"/>
            <w:tcBorders>
              <w:top w:val="nil"/>
              <w:left w:val="single" w:sz="8" w:space="0" w:color="auto"/>
              <w:bottom w:val="single" w:sz="8" w:space="0" w:color="auto"/>
              <w:right w:val="nil"/>
            </w:tcBorders>
            <w:vAlign w:val="center"/>
            <w:hideMark/>
          </w:tcPr>
          <w:p w14:paraId="1C590725"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b/>
                <w:bCs/>
                <w:color w:val="000000"/>
                <w:sz w:val="24"/>
                <w:szCs w:val="24"/>
                <w:lang w:val="vi-VN"/>
              </w:rPr>
              <w:t>5</w:t>
            </w:r>
          </w:p>
        </w:tc>
        <w:tc>
          <w:tcPr>
            <w:tcW w:w="2400" w:type="pct"/>
            <w:tcBorders>
              <w:top w:val="nil"/>
              <w:left w:val="single" w:sz="8" w:space="0" w:color="auto"/>
              <w:bottom w:val="single" w:sz="8" w:space="0" w:color="auto"/>
              <w:right w:val="nil"/>
            </w:tcBorders>
            <w:vAlign w:val="center"/>
            <w:hideMark/>
          </w:tcPr>
          <w:p w14:paraId="1E73CC2B"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b/>
                <w:bCs/>
                <w:color w:val="000000"/>
                <w:sz w:val="24"/>
                <w:szCs w:val="24"/>
                <w:lang w:val="vi-VN"/>
              </w:rPr>
              <w:t>Thái độ của công chức khi hướng dẫn lập hồ sơ, tiếp nhận hồ sơ và giải quyết thủ tục hành chính</w:t>
            </w:r>
          </w:p>
        </w:tc>
        <w:tc>
          <w:tcPr>
            <w:tcW w:w="400" w:type="pct"/>
            <w:tcBorders>
              <w:top w:val="nil"/>
              <w:left w:val="single" w:sz="8" w:space="0" w:color="auto"/>
              <w:bottom w:val="single" w:sz="8" w:space="0" w:color="auto"/>
              <w:right w:val="nil"/>
            </w:tcBorders>
            <w:vAlign w:val="center"/>
            <w:hideMark/>
          </w:tcPr>
          <w:p w14:paraId="5B6C4A29"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b/>
                <w:bCs/>
                <w:color w:val="000000"/>
                <w:sz w:val="24"/>
                <w:szCs w:val="24"/>
                <w:lang w:val="vi-VN"/>
              </w:rPr>
              <w:t>2</w:t>
            </w:r>
          </w:p>
        </w:tc>
        <w:tc>
          <w:tcPr>
            <w:tcW w:w="650" w:type="pct"/>
            <w:tcBorders>
              <w:top w:val="nil"/>
              <w:left w:val="single" w:sz="8" w:space="0" w:color="auto"/>
              <w:bottom w:val="single" w:sz="8" w:space="0" w:color="auto"/>
              <w:right w:val="nil"/>
            </w:tcBorders>
            <w:vAlign w:val="center"/>
            <w:hideMark/>
          </w:tcPr>
          <w:p w14:paraId="6465FE1B"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b/>
                <w:bCs/>
                <w:color w:val="000000"/>
                <w:sz w:val="24"/>
                <w:szCs w:val="24"/>
                <w:lang w:val="vi-VN"/>
              </w:rPr>
              <w:t> </w:t>
            </w:r>
          </w:p>
        </w:tc>
        <w:tc>
          <w:tcPr>
            <w:tcW w:w="700" w:type="pct"/>
            <w:tcBorders>
              <w:top w:val="nil"/>
              <w:left w:val="single" w:sz="8" w:space="0" w:color="auto"/>
              <w:bottom w:val="single" w:sz="8" w:space="0" w:color="auto"/>
              <w:right w:val="nil"/>
            </w:tcBorders>
            <w:vAlign w:val="center"/>
            <w:hideMark/>
          </w:tcPr>
          <w:p w14:paraId="37D22B46"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b/>
                <w:bCs/>
                <w:color w:val="000000"/>
                <w:sz w:val="24"/>
                <w:szCs w:val="24"/>
                <w:lang w:val="vi-VN"/>
              </w:rPr>
              <w:t> </w:t>
            </w:r>
          </w:p>
        </w:tc>
        <w:tc>
          <w:tcPr>
            <w:tcW w:w="350" w:type="pct"/>
            <w:tcBorders>
              <w:top w:val="nil"/>
              <w:left w:val="single" w:sz="8" w:space="0" w:color="auto"/>
              <w:bottom w:val="single" w:sz="8" w:space="0" w:color="auto"/>
              <w:right w:val="single" w:sz="8" w:space="0" w:color="auto"/>
            </w:tcBorders>
            <w:vAlign w:val="center"/>
            <w:hideMark/>
          </w:tcPr>
          <w:p w14:paraId="14D2F1A0"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b/>
                <w:bCs/>
                <w:color w:val="000000"/>
                <w:sz w:val="24"/>
                <w:szCs w:val="24"/>
                <w:lang w:val="vi-VN"/>
              </w:rPr>
              <w:t> </w:t>
            </w:r>
          </w:p>
        </w:tc>
      </w:tr>
      <w:tr w:rsidR="00C15B78" w:rsidRPr="00C15B78" w14:paraId="67FE19AA" w14:textId="77777777" w:rsidTr="00C15B78">
        <w:trPr>
          <w:tblCellSpacing w:w="0" w:type="dxa"/>
        </w:trPr>
        <w:tc>
          <w:tcPr>
            <w:tcW w:w="350" w:type="pct"/>
            <w:vMerge w:val="restart"/>
            <w:tcBorders>
              <w:top w:val="nil"/>
              <w:left w:val="single" w:sz="8" w:space="0" w:color="auto"/>
              <w:bottom w:val="single" w:sz="8" w:space="0" w:color="auto"/>
              <w:right w:val="nil"/>
            </w:tcBorders>
            <w:vAlign w:val="center"/>
            <w:hideMark/>
          </w:tcPr>
          <w:p w14:paraId="50B634D4"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c>
          <w:tcPr>
            <w:tcW w:w="2400" w:type="pct"/>
            <w:tcBorders>
              <w:top w:val="nil"/>
              <w:left w:val="single" w:sz="8" w:space="0" w:color="auto"/>
              <w:bottom w:val="single" w:sz="8" w:space="0" w:color="auto"/>
              <w:right w:val="nil"/>
            </w:tcBorders>
            <w:vAlign w:val="center"/>
            <w:hideMark/>
          </w:tcPr>
          <w:p w14:paraId="79158673"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Tiếp nhận, xử lý, trả kết quả hồ sơ sớm hơn thời hạn quy định và không có ý kiến phản ánh, kiến nghị về hành vi, thái độ nhũng nhiễu, gây phiền hà, không thực hiện hoặc thực hiện không đúng quy định pháp luật</w:t>
            </w:r>
          </w:p>
        </w:tc>
        <w:tc>
          <w:tcPr>
            <w:tcW w:w="400" w:type="pct"/>
            <w:tcBorders>
              <w:top w:val="nil"/>
              <w:left w:val="single" w:sz="8" w:space="0" w:color="auto"/>
              <w:bottom w:val="single" w:sz="8" w:space="0" w:color="auto"/>
              <w:right w:val="nil"/>
            </w:tcBorders>
            <w:vAlign w:val="center"/>
            <w:hideMark/>
          </w:tcPr>
          <w:p w14:paraId="49D3D706"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2</w:t>
            </w:r>
          </w:p>
        </w:tc>
        <w:tc>
          <w:tcPr>
            <w:tcW w:w="650" w:type="pct"/>
            <w:tcBorders>
              <w:top w:val="nil"/>
              <w:left w:val="single" w:sz="8" w:space="0" w:color="auto"/>
              <w:bottom w:val="single" w:sz="8" w:space="0" w:color="auto"/>
              <w:right w:val="nil"/>
            </w:tcBorders>
            <w:vAlign w:val="center"/>
            <w:hideMark/>
          </w:tcPr>
          <w:p w14:paraId="5EECD4B9"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c>
          <w:tcPr>
            <w:tcW w:w="700" w:type="pct"/>
            <w:tcBorders>
              <w:top w:val="nil"/>
              <w:left w:val="single" w:sz="8" w:space="0" w:color="auto"/>
              <w:bottom w:val="single" w:sz="8" w:space="0" w:color="auto"/>
              <w:right w:val="nil"/>
            </w:tcBorders>
            <w:vAlign w:val="center"/>
            <w:hideMark/>
          </w:tcPr>
          <w:p w14:paraId="3EA9AB5A"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c>
          <w:tcPr>
            <w:tcW w:w="350" w:type="pct"/>
            <w:tcBorders>
              <w:top w:val="nil"/>
              <w:left w:val="single" w:sz="8" w:space="0" w:color="auto"/>
              <w:bottom w:val="single" w:sz="8" w:space="0" w:color="auto"/>
              <w:right w:val="single" w:sz="8" w:space="0" w:color="auto"/>
            </w:tcBorders>
            <w:vAlign w:val="center"/>
            <w:hideMark/>
          </w:tcPr>
          <w:p w14:paraId="0E1F75FD"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r>
      <w:tr w:rsidR="00C15B78" w:rsidRPr="00C15B78" w14:paraId="60CDAA5F" w14:textId="77777777" w:rsidTr="00C15B78">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1A2B75C9" w14:textId="77777777" w:rsidR="00C15B78" w:rsidRPr="00C15B78" w:rsidRDefault="00C15B78" w:rsidP="00C15B78">
            <w:pPr>
              <w:spacing w:before="120" w:after="0" w:line="276" w:lineRule="auto"/>
              <w:rPr>
                <w:rFonts w:ascii="Times New Roman" w:eastAsia="Times New Roman" w:hAnsi="Times New Roman"/>
                <w:color w:val="000000"/>
                <w:sz w:val="24"/>
                <w:szCs w:val="24"/>
              </w:rPr>
            </w:pPr>
          </w:p>
        </w:tc>
        <w:tc>
          <w:tcPr>
            <w:tcW w:w="2400" w:type="pct"/>
            <w:tcBorders>
              <w:top w:val="nil"/>
              <w:left w:val="single" w:sz="8" w:space="0" w:color="auto"/>
              <w:bottom w:val="single" w:sz="8" w:space="0" w:color="auto"/>
              <w:right w:val="nil"/>
            </w:tcBorders>
            <w:vAlign w:val="center"/>
            <w:hideMark/>
          </w:tcPr>
          <w:p w14:paraId="1052707F"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Tiếp nhận, xử lý, trả kết quả hồ sơ đúng thời hạn quy định và không có ý kiến phản ánh, kiến nghị về hành vi, thái độ nhũng nhiễu, gây phiền hà, không thực hiện hoặc thực hiện không đúng quy định pháp luật</w:t>
            </w:r>
          </w:p>
        </w:tc>
        <w:tc>
          <w:tcPr>
            <w:tcW w:w="400" w:type="pct"/>
            <w:tcBorders>
              <w:top w:val="nil"/>
              <w:left w:val="single" w:sz="8" w:space="0" w:color="auto"/>
              <w:bottom w:val="single" w:sz="8" w:space="0" w:color="auto"/>
              <w:right w:val="nil"/>
            </w:tcBorders>
            <w:vAlign w:val="center"/>
            <w:hideMark/>
          </w:tcPr>
          <w:p w14:paraId="45B26EC2"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1</w:t>
            </w:r>
          </w:p>
        </w:tc>
        <w:tc>
          <w:tcPr>
            <w:tcW w:w="650" w:type="pct"/>
            <w:tcBorders>
              <w:top w:val="nil"/>
              <w:left w:val="single" w:sz="8" w:space="0" w:color="auto"/>
              <w:bottom w:val="single" w:sz="8" w:space="0" w:color="auto"/>
              <w:right w:val="nil"/>
            </w:tcBorders>
            <w:vAlign w:val="center"/>
            <w:hideMark/>
          </w:tcPr>
          <w:p w14:paraId="694FF246"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c>
          <w:tcPr>
            <w:tcW w:w="700" w:type="pct"/>
            <w:tcBorders>
              <w:top w:val="nil"/>
              <w:left w:val="single" w:sz="8" w:space="0" w:color="auto"/>
              <w:bottom w:val="single" w:sz="8" w:space="0" w:color="auto"/>
              <w:right w:val="nil"/>
            </w:tcBorders>
            <w:vAlign w:val="center"/>
            <w:hideMark/>
          </w:tcPr>
          <w:p w14:paraId="3B0E538D"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c>
          <w:tcPr>
            <w:tcW w:w="350" w:type="pct"/>
            <w:tcBorders>
              <w:top w:val="nil"/>
              <w:left w:val="single" w:sz="8" w:space="0" w:color="auto"/>
              <w:bottom w:val="single" w:sz="8" w:space="0" w:color="auto"/>
              <w:right w:val="single" w:sz="8" w:space="0" w:color="auto"/>
            </w:tcBorders>
            <w:vAlign w:val="center"/>
            <w:hideMark/>
          </w:tcPr>
          <w:p w14:paraId="2FA8262F"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r>
      <w:tr w:rsidR="00C15B78" w:rsidRPr="00C15B78" w14:paraId="470B0F5E" w14:textId="77777777" w:rsidTr="00C15B78">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4D0DDB6C" w14:textId="77777777" w:rsidR="00C15B78" w:rsidRPr="00C15B78" w:rsidRDefault="00C15B78" w:rsidP="00C15B78">
            <w:pPr>
              <w:spacing w:before="120" w:after="0" w:line="276" w:lineRule="auto"/>
              <w:rPr>
                <w:rFonts w:ascii="Times New Roman" w:eastAsia="Times New Roman" w:hAnsi="Times New Roman"/>
                <w:color w:val="000000"/>
                <w:sz w:val="24"/>
                <w:szCs w:val="24"/>
              </w:rPr>
            </w:pPr>
          </w:p>
        </w:tc>
        <w:tc>
          <w:tcPr>
            <w:tcW w:w="2400" w:type="pct"/>
            <w:tcBorders>
              <w:top w:val="nil"/>
              <w:left w:val="single" w:sz="8" w:space="0" w:color="auto"/>
              <w:bottom w:val="single" w:sz="8" w:space="0" w:color="auto"/>
              <w:right w:val="nil"/>
            </w:tcBorders>
            <w:vAlign w:val="center"/>
            <w:hideMark/>
          </w:tcPr>
          <w:p w14:paraId="27A7A111"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xml:space="preserve">Có ý kiến phản ánh, kiến nghị về hành vi, thái độ nhũng nhiễu, gây phiền hà, không thực hiện hoặc thực hiện không đúng quy định pháp luật (trừ trường hợp phản ánh, kiến nghị được cơ </w:t>
            </w:r>
            <w:r w:rsidRPr="00C15B78">
              <w:rPr>
                <w:rFonts w:ascii="Times New Roman" w:eastAsia="Times New Roman" w:hAnsi="Times New Roman"/>
                <w:color w:val="000000"/>
                <w:sz w:val="24"/>
                <w:szCs w:val="24"/>
                <w:lang w:val="vi-VN"/>
              </w:rPr>
              <w:lastRenderedPageBreak/>
              <w:t>quan có thẩm quyền xác minh, kết luận là không đúng)</w:t>
            </w:r>
          </w:p>
        </w:tc>
        <w:tc>
          <w:tcPr>
            <w:tcW w:w="400" w:type="pct"/>
            <w:tcBorders>
              <w:top w:val="nil"/>
              <w:left w:val="single" w:sz="8" w:space="0" w:color="auto"/>
              <w:bottom w:val="single" w:sz="8" w:space="0" w:color="auto"/>
              <w:right w:val="nil"/>
            </w:tcBorders>
            <w:vAlign w:val="center"/>
            <w:hideMark/>
          </w:tcPr>
          <w:p w14:paraId="64DAD30E"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rPr>
              <w:lastRenderedPageBreak/>
              <w:t>0</w:t>
            </w:r>
          </w:p>
        </w:tc>
        <w:tc>
          <w:tcPr>
            <w:tcW w:w="650" w:type="pct"/>
            <w:tcBorders>
              <w:top w:val="nil"/>
              <w:left w:val="single" w:sz="8" w:space="0" w:color="auto"/>
              <w:bottom w:val="single" w:sz="8" w:space="0" w:color="auto"/>
              <w:right w:val="nil"/>
            </w:tcBorders>
            <w:vAlign w:val="center"/>
            <w:hideMark/>
          </w:tcPr>
          <w:p w14:paraId="39DF9DAC"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c>
          <w:tcPr>
            <w:tcW w:w="700" w:type="pct"/>
            <w:tcBorders>
              <w:top w:val="nil"/>
              <w:left w:val="single" w:sz="8" w:space="0" w:color="auto"/>
              <w:bottom w:val="single" w:sz="8" w:space="0" w:color="auto"/>
              <w:right w:val="nil"/>
            </w:tcBorders>
            <w:vAlign w:val="center"/>
            <w:hideMark/>
          </w:tcPr>
          <w:p w14:paraId="52B0A44D"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c>
          <w:tcPr>
            <w:tcW w:w="350" w:type="pct"/>
            <w:tcBorders>
              <w:top w:val="nil"/>
              <w:left w:val="single" w:sz="8" w:space="0" w:color="auto"/>
              <w:bottom w:val="single" w:sz="8" w:space="0" w:color="auto"/>
              <w:right w:val="single" w:sz="8" w:space="0" w:color="auto"/>
            </w:tcBorders>
            <w:vAlign w:val="center"/>
            <w:hideMark/>
          </w:tcPr>
          <w:p w14:paraId="5D9C0F7D"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r>
      <w:tr w:rsidR="00C15B78" w:rsidRPr="00C15B78" w14:paraId="5034C65A" w14:textId="77777777" w:rsidTr="00C15B78">
        <w:trPr>
          <w:tblCellSpacing w:w="0" w:type="dxa"/>
        </w:trPr>
        <w:tc>
          <w:tcPr>
            <w:tcW w:w="350" w:type="pct"/>
            <w:tcBorders>
              <w:top w:val="nil"/>
              <w:left w:val="single" w:sz="8" w:space="0" w:color="auto"/>
              <w:bottom w:val="single" w:sz="8" w:space="0" w:color="auto"/>
              <w:right w:val="nil"/>
            </w:tcBorders>
            <w:vAlign w:val="center"/>
            <w:hideMark/>
          </w:tcPr>
          <w:p w14:paraId="0E5964A4"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c>
          <w:tcPr>
            <w:tcW w:w="2400" w:type="pct"/>
            <w:tcBorders>
              <w:top w:val="nil"/>
              <w:left w:val="single" w:sz="8" w:space="0" w:color="auto"/>
              <w:bottom w:val="single" w:sz="8" w:space="0" w:color="auto"/>
              <w:right w:val="nil"/>
            </w:tcBorders>
            <w:vAlign w:val="center"/>
            <w:hideMark/>
          </w:tcPr>
          <w:p w14:paraId="167692BD"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b/>
                <w:bCs/>
                <w:color w:val="000000"/>
                <w:sz w:val="24"/>
                <w:szCs w:val="24"/>
                <w:lang w:val="vi-VN"/>
              </w:rPr>
              <w:t>TỔNG ĐI</w:t>
            </w:r>
            <w:r w:rsidRPr="00C15B78">
              <w:rPr>
                <w:rFonts w:ascii="Times New Roman" w:eastAsia="Times New Roman" w:hAnsi="Times New Roman"/>
                <w:b/>
                <w:bCs/>
                <w:color w:val="000000"/>
                <w:sz w:val="24"/>
                <w:szCs w:val="24"/>
              </w:rPr>
              <w:t>Ể</w:t>
            </w:r>
            <w:r w:rsidRPr="00C15B78">
              <w:rPr>
                <w:rFonts w:ascii="Times New Roman" w:eastAsia="Times New Roman" w:hAnsi="Times New Roman"/>
                <w:b/>
                <w:bCs/>
                <w:color w:val="000000"/>
                <w:sz w:val="24"/>
                <w:szCs w:val="24"/>
                <w:lang w:val="vi-VN"/>
              </w:rPr>
              <w:t>M</w:t>
            </w:r>
          </w:p>
        </w:tc>
        <w:tc>
          <w:tcPr>
            <w:tcW w:w="400" w:type="pct"/>
            <w:tcBorders>
              <w:top w:val="nil"/>
              <w:left w:val="single" w:sz="8" w:space="0" w:color="auto"/>
              <w:bottom w:val="single" w:sz="8" w:space="0" w:color="auto"/>
              <w:right w:val="nil"/>
            </w:tcBorders>
            <w:vAlign w:val="center"/>
            <w:hideMark/>
          </w:tcPr>
          <w:p w14:paraId="5DE8281D"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b/>
                <w:bCs/>
                <w:color w:val="000000"/>
                <w:sz w:val="24"/>
                <w:szCs w:val="24"/>
                <w:lang w:val="vi-VN"/>
              </w:rPr>
              <w:t>10</w:t>
            </w:r>
          </w:p>
        </w:tc>
        <w:tc>
          <w:tcPr>
            <w:tcW w:w="650" w:type="pct"/>
            <w:tcBorders>
              <w:top w:val="nil"/>
              <w:left w:val="single" w:sz="8" w:space="0" w:color="auto"/>
              <w:bottom w:val="single" w:sz="8" w:space="0" w:color="auto"/>
              <w:right w:val="nil"/>
            </w:tcBorders>
            <w:vAlign w:val="center"/>
            <w:hideMark/>
          </w:tcPr>
          <w:p w14:paraId="2E57B701"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c>
          <w:tcPr>
            <w:tcW w:w="700" w:type="pct"/>
            <w:tcBorders>
              <w:top w:val="nil"/>
              <w:left w:val="single" w:sz="8" w:space="0" w:color="auto"/>
              <w:bottom w:val="single" w:sz="8" w:space="0" w:color="auto"/>
              <w:right w:val="nil"/>
            </w:tcBorders>
            <w:vAlign w:val="center"/>
            <w:hideMark/>
          </w:tcPr>
          <w:p w14:paraId="76146C5D"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c>
          <w:tcPr>
            <w:tcW w:w="350" w:type="pct"/>
            <w:tcBorders>
              <w:top w:val="nil"/>
              <w:left w:val="single" w:sz="8" w:space="0" w:color="auto"/>
              <w:bottom w:val="single" w:sz="8" w:space="0" w:color="auto"/>
              <w:right w:val="single" w:sz="8" w:space="0" w:color="auto"/>
            </w:tcBorders>
            <w:vAlign w:val="center"/>
            <w:hideMark/>
          </w:tcPr>
          <w:p w14:paraId="088E252C"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c>
      </w:tr>
    </w:tbl>
    <w:p w14:paraId="13AA3B79" w14:textId="77777777" w:rsidR="00C15B78" w:rsidRPr="00C15B78" w:rsidRDefault="00C15B78" w:rsidP="00C15B78">
      <w:pPr>
        <w:shd w:val="clear" w:color="auto" w:fill="FFFFFF"/>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C15B78" w:rsidRPr="00C15B78" w14:paraId="17E4B1BE" w14:textId="77777777" w:rsidTr="00C15B78">
        <w:trPr>
          <w:tblCellSpacing w:w="0" w:type="dxa"/>
        </w:trPr>
        <w:tc>
          <w:tcPr>
            <w:tcW w:w="4428" w:type="dxa"/>
            <w:shd w:val="clear" w:color="auto" w:fill="FFFFFF"/>
            <w:tcMar>
              <w:top w:w="0" w:type="dxa"/>
              <w:left w:w="108" w:type="dxa"/>
              <w:bottom w:w="0" w:type="dxa"/>
              <w:right w:w="108" w:type="dxa"/>
            </w:tcMar>
            <w:hideMark/>
          </w:tcPr>
          <w:p w14:paraId="04B83D18"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b/>
                <w:bCs/>
                <w:color w:val="000000"/>
                <w:sz w:val="24"/>
                <w:szCs w:val="24"/>
                <w:lang w:val="vi-VN"/>
              </w:rPr>
              <w:t>Thẩm định của Bộ phận Một cửa</w:t>
            </w:r>
            <w:r w:rsidRPr="00C15B78">
              <w:rPr>
                <w:rFonts w:ascii="Times New Roman" w:eastAsia="Times New Roman" w:hAnsi="Times New Roman"/>
                <w:b/>
                <w:bCs/>
                <w:color w:val="000000"/>
                <w:sz w:val="24"/>
                <w:szCs w:val="24"/>
              </w:rPr>
              <w:br/>
            </w:r>
            <w:r w:rsidRPr="00C15B78">
              <w:rPr>
                <w:rFonts w:ascii="Times New Roman" w:eastAsia="Times New Roman" w:hAnsi="Times New Roman"/>
                <w:i/>
                <w:iCs/>
                <w:color w:val="000000"/>
                <w:sz w:val="24"/>
                <w:szCs w:val="24"/>
                <w:lang w:val="vi-VN"/>
              </w:rPr>
              <w:t>(Ký, ghi rõ họ tên)</w:t>
            </w:r>
          </w:p>
        </w:tc>
        <w:tc>
          <w:tcPr>
            <w:tcW w:w="4428" w:type="dxa"/>
            <w:shd w:val="clear" w:color="auto" w:fill="FFFFFF"/>
            <w:tcMar>
              <w:top w:w="0" w:type="dxa"/>
              <w:left w:w="108" w:type="dxa"/>
              <w:bottom w:w="0" w:type="dxa"/>
              <w:right w:w="108" w:type="dxa"/>
            </w:tcMar>
            <w:hideMark/>
          </w:tcPr>
          <w:p w14:paraId="2B0C74AC"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b/>
                <w:bCs/>
                <w:color w:val="000000"/>
                <w:sz w:val="24"/>
                <w:szCs w:val="24"/>
                <w:lang w:val="vi-VN"/>
              </w:rPr>
              <w:t>Họ tên công chức thực hiện đánh giá</w:t>
            </w:r>
            <w:r w:rsidRPr="00C15B78">
              <w:rPr>
                <w:rFonts w:ascii="Times New Roman" w:eastAsia="Times New Roman" w:hAnsi="Times New Roman"/>
                <w:b/>
                <w:bCs/>
                <w:color w:val="000000"/>
                <w:sz w:val="24"/>
                <w:szCs w:val="24"/>
              </w:rPr>
              <w:br/>
            </w:r>
            <w:r w:rsidRPr="00C15B78">
              <w:rPr>
                <w:rFonts w:ascii="Times New Roman" w:eastAsia="Times New Roman" w:hAnsi="Times New Roman"/>
                <w:i/>
                <w:iCs/>
                <w:color w:val="000000"/>
                <w:sz w:val="24"/>
                <w:szCs w:val="24"/>
                <w:lang w:val="vi-VN"/>
              </w:rPr>
              <w:t>(Ký, ghi rõ họ tên)</w:t>
            </w:r>
          </w:p>
        </w:tc>
      </w:tr>
    </w:tbl>
    <w:p w14:paraId="3B8395E6" w14:textId="77777777" w:rsidR="00C15B78" w:rsidRPr="00C15B78" w:rsidRDefault="00C15B78" w:rsidP="00C15B78">
      <w:pPr>
        <w:shd w:val="clear" w:color="auto" w:fill="FFFFFF"/>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w:t>
      </w:r>
    </w:p>
    <w:p w14:paraId="421A6428" w14:textId="77777777" w:rsidR="00C15B78" w:rsidRPr="00C15B78" w:rsidRDefault="00C15B78" w:rsidP="00C15B78">
      <w:pPr>
        <w:shd w:val="clear" w:color="auto" w:fill="FFFFFF"/>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b/>
          <w:bCs/>
          <w:color w:val="000000"/>
          <w:sz w:val="24"/>
          <w:szCs w:val="24"/>
          <w:lang w:val="vi-VN"/>
        </w:rPr>
        <w:t>HƯỚNG DẪN CÁCH CHẤM ĐIỂM CÁC TIÊU CHÍ ĐÁNH GIÁ PHIẾU SỐ 01</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94"/>
        <w:gridCol w:w="1913"/>
        <w:gridCol w:w="5175"/>
        <w:gridCol w:w="1818"/>
      </w:tblGrid>
      <w:tr w:rsidR="00C15B78" w:rsidRPr="00C15B78" w14:paraId="259A6049" w14:textId="77777777" w:rsidTr="00C15B78">
        <w:trPr>
          <w:tblCellSpacing w:w="0" w:type="dxa"/>
        </w:trPr>
        <w:tc>
          <w:tcPr>
            <w:tcW w:w="250" w:type="pct"/>
            <w:tcBorders>
              <w:top w:val="single" w:sz="8" w:space="0" w:color="auto"/>
              <w:left w:val="single" w:sz="8" w:space="0" w:color="auto"/>
              <w:bottom w:val="single" w:sz="8" w:space="0" w:color="auto"/>
              <w:right w:val="single" w:sz="8" w:space="0" w:color="auto"/>
            </w:tcBorders>
            <w:vAlign w:val="center"/>
            <w:hideMark/>
          </w:tcPr>
          <w:p w14:paraId="098136F0"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b/>
                <w:bCs/>
                <w:color w:val="000000"/>
                <w:sz w:val="24"/>
                <w:szCs w:val="24"/>
                <w:lang w:val="vi-VN"/>
              </w:rPr>
              <w:t>STT</w:t>
            </w:r>
          </w:p>
        </w:tc>
        <w:tc>
          <w:tcPr>
            <w:tcW w:w="1000" w:type="pct"/>
            <w:tcBorders>
              <w:top w:val="single" w:sz="8" w:space="0" w:color="auto"/>
              <w:left w:val="nil"/>
              <w:bottom w:val="single" w:sz="8" w:space="0" w:color="auto"/>
              <w:right w:val="single" w:sz="8" w:space="0" w:color="auto"/>
            </w:tcBorders>
            <w:vAlign w:val="center"/>
            <w:hideMark/>
          </w:tcPr>
          <w:p w14:paraId="3D2557F3"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b/>
                <w:bCs/>
                <w:color w:val="000000"/>
                <w:sz w:val="24"/>
                <w:szCs w:val="24"/>
                <w:lang w:val="vi-VN"/>
              </w:rPr>
              <w:t>Tên tiêu chí/ Tiêu chí thành phần</w:t>
            </w:r>
          </w:p>
        </w:tc>
        <w:tc>
          <w:tcPr>
            <w:tcW w:w="2700" w:type="pct"/>
            <w:tcBorders>
              <w:top w:val="single" w:sz="8" w:space="0" w:color="auto"/>
              <w:left w:val="nil"/>
              <w:bottom w:val="single" w:sz="8" w:space="0" w:color="auto"/>
              <w:right w:val="single" w:sz="8" w:space="0" w:color="auto"/>
            </w:tcBorders>
            <w:vAlign w:val="center"/>
            <w:hideMark/>
          </w:tcPr>
          <w:p w14:paraId="5CABD90C"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b/>
                <w:bCs/>
                <w:color w:val="000000"/>
                <w:sz w:val="24"/>
                <w:szCs w:val="24"/>
                <w:lang w:val="vi-VN"/>
              </w:rPr>
              <w:t>Cách chấm điểm</w:t>
            </w:r>
          </w:p>
        </w:tc>
        <w:tc>
          <w:tcPr>
            <w:tcW w:w="950" w:type="pct"/>
            <w:tcBorders>
              <w:top w:val="single" w:sz="8" w:space="0" w:color="auto"/>
              <w:left w:val="nil"/>
              <w:bottom w:val="single" w:sz="8" w:space="0" w:color="auto"/>
              <w:right w:val="single" w:sz="8" w:space="0" w:color="auto"/>
            </w:tcBorders>
            <w:vAlign w:val="center"/>
            <w:hideMark/>
          </w:tcPr>
          <w:p w14:paraId="47B27E0C"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b/>
                <w:bCs/>
                <w:color w:val="000000"/>
                <w:sz w:val="24"/>
                <w:szCs w:val="24"/>
                <w:lang w:val="vi-VN"/>
              </w:rPr>
              <w:t>Tài liệu kiểm chứng</w:t>
            </w:r>
          </w:p>
        </w:tc>
      </w:tr>
      <w:tr w:rsidR="00C15B78" w:rsidRPr="00C15B78" w14:paraId="087C1EA6" w14:textId="77777777" w:rsidTr="00C15B78">
        <w:trPr>
          <w:tblCellSpacing w:w="0" w:type="dxa"/>
        </w:trPr>
        <w:tc>
          <w:tcPr>
            <w:tcW w:w="250" w:type="pct"/>
            <w:tcBorders>
              <w:top w:val="nil"/>
              <w:left w:val="single" w:sz="8" w:space="0" w:color="auto"/>
              <w:bottom w:val="single" w:sz="8" w:space="0" w:color="auto"/>
              <w:right w:val="single" w:sz="8" w:space="0" w:color="auto"/>
            </w:tcBorders>
            <w:hideMark/>
          </w:tcPr>
          <w:p w14:paraId="2E6CA6C3"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1</w:t>
            </w:r>
          </w:p>
        </w:tc>
        <w:tc>
          <w:tcPr>
            <w:tcW w:w="1000" w:type="pct"/>
            <w:tcBorders>
              <w:top w:val="nil"/>
              <w:left w:val="nil"/>
              <w:bottom w:val="single" w:sz="8" w:space="0" w:color="auto"/>
              <w:right w:val="single" w:sz="8" w:space="0" w:color="auto"/>
            </w:tcBorders>
            <w:hideMark/>
          </w:tcPr>
          <w:p w14:paraId="1946634E"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Tổng số hồ sơ tiếp nhận và có hạn trả kết quả trong kỳ</w:t>
            </w:r>
          </w:p>
          <w:p w14:paraId="3C5C605B"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Tổng số hồ sơ đã giải quyết trong kỳ</w:t>
            </w:r>
          </w:p>
        </w:tc>
        <w:tc>
          <w:tcPr>
            <w:tcW w:w="2700" w:type="pct"/>
            <w:tcBorders>
              <w:top w:val="nil"/>
              <w:left w:val="nil"/>
              <w:bottom w:val="single" w:sz="8" w:space="0" w:color="auto"/>
              <w:right w:val="single" w:sz="8" w:space="0" w:color="auto"/>
            </w:tcBorders>
            <w:hideMark/>
          </w:tcPr>
          <w:p w14:paraId="3EE965AA"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Tổng số hồ sơ tiếp nhận và có hạn trả kết quả trong kỳ: là những hồ sơ có thể tiếp nhận từ kỳ trước hoặc trong kỳ nhưng có thời hạn giải quyết trong kỳ báo cáo.</w:t>
            </w:r>
          </w:p>
          <w:p w14:paraId="1AEE0619"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Tổng số hồ sơ đã giải quyết trong kỳ: Là những hồ sơ được giải quyết trong kỳ báo cáo.</w:t>
            </w:r>
          </w:p>
        </w:tc>
        <w:tc>
          <w:tcPr>
            <w:tcW w:w="950" w:type="pct"/>
            <w:tcBorders>
              <w:top w:val="nil"/>
              <w:left w:val="nil"/>
              <w:bottom w:val="single" w:sz="8" w:space="0" w:color="auto"/>
              <w:right w:val="single" w:sz="8" w:space="0" w:color="auto"/>
            </w:tcBorders>
            <w:hideMark/>
          </w:tcPr>
          <w:p w14:paraId="386CB0AB"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Số liệu trích xuất từ phần mềm Một cửa điện tử và dịch vụ công trực tuyến.</w:t>
            </w:r>
          </w:p>
          <w:p w14:paraId="3CC263D1"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Thống kê của đơn vị</w:t>
            </w:r>
          </w:p>
        </w:tc>
      </w:tr>
      <w:tr w:rsidR="00C15B78" w:rsidRPr="00C15B78" w14:paraId="75634BE8" w14:textId="77777777" w:rsidTr="00C15B78">
        <w:trPr>
          <w:tblCellSpacing w:w="0" w:type="dxa"/>
        </w:trPr>
        <w:tc>
          <w:tcPr>
            <w:tcW w:w="250" w:type="pct"/>
            <w:tcBorders>
              <w:top w:val="nil"/>
              <w:left w:val="single" w:sz="8" w:space="0" w:color="auto"/>
              <w:bottom w:val="single" w:sz="8" w:space="0" w:color="auto"/>
              <w:right w:val="single" w:sz="8" w:space="0" w:color="auto"/>
            </w:tcBorders>
            <w:hideMark/>
          </w:tcPr>
          <w:p w14:paraId="1CB071FE"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2</w:t>
            </w:r>
          </w:p>
        </w:tc>
        <w:tc>
          <w:tcPr>
            <w:tcW w:w="1000" w:type="pct"/>
            <w:tcBorders>
              <w:top w:val="nil"/>
              <w:left w:val="nil"/>
              <w:bottom w:val="single" w:sz="8" w:space="0" w:color="auto"/>
              <w:right w:val="single" w:sz="8" w:space="0" w:color="auto"/>
            </w:tcBorders>
            <w:hideMark/>
          </w:tcPr>
          <w:p w14:paraId="3811CCC7"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Tiêu chí 1: Tổng thời gian tiếp nhận và trả kết quả hồ sơ thủ tục hành chính</w:t>
            </w:r>
          </w:p>
        </w:tc>
        <w:tc>
          <w:tcPr>
            <w:tcW w:w="2700" w:type="pct"/>
            <w:tcBorders>
              <w:top w:val="nil"/>
              <w:left w:val="nil"/>
              <w:bottom w:val="single" w:sz="8" w:space="0" w:color="auto"/>
              <w:right w:val="single" w:sz="8" w:space="0" w:color="auto"/>
            </w:tcBorders>
            <w:hideMark/>
          </w:tcPr>
          <w:p w14:paraId="1DE9CE47"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Việc chấm điểm tiêu chí này được chấm điểm cho từng hồ sơ được tiếp nhận, giải quyết và trả kết quả giải quyết trong kỳ:</w:t>
            </w:r>
          </w:p>
          <w:p w14:paraId="2D9B476C"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Ít hơn thời gian quy định 2 điểm, Đúng thời gian quy định 1 điểm, Nhiều hơn thời gian quy định 0 điểm.</w:t>
            </w:r>
          </w:p>
          <w:p w14:paraId="390FB49B"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Điểm tiêu chí 1 = Tổng điểm số của các hồ sơ giải quyết TTHC/Tổng số hồ sơ giải quyết TTHC.</w:t>
            </w:r>
          </w:p>
          <w:p w14:paraId="2A9064E5"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Kết quả được làm tròn phần thập phân đến một (01) chữ số.</w:t>
            </w:r>
          </w:p>
          <w:p w14:paraId="007B5CB8"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Ví dụ: trong kỳ giải quyết 06 hồ sơ, trong đó có 02 hồ sơ trễ hạn, 03 hồ sơ trước hạn và 01 hồ sơ đúng hạn, điểm tiêu chí 1 được tính như sau:</w:t>
            </w:r>
          </w:p>
          <w:p w14:paraId="17A0A2D0"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Điểm tiêu chí 1 = [(2x0) + (3x2) +(1x1)]/6 = 1.2</w:t>
            </w:r>
          </w:p>
        </w:tc>
        <w:tc>
          <w:tcPr>
            <w:tcW w:w="950" w:type="pct"/>
            <w:tcBorders>
              <w:top w:val="nil"/>
              <w:left w:val="nil"/>
              <w:bottom w:val="single" w:sz="8" w:space="0" w:color="auto"/>
              <w:right w:val="single" w:sz="8" w:space="0" w:color="auto"/>
            </w:tcBorders>
            <w:hideMark/>
          </w:tcPr>
          <w:p w14:paraId="0892C03C"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Số liệu trích xuất từ phần mềm Một cửa điện tử và dịch vụ công trực tuyến.</w:t>
            </w:r>
          </w:p>
          <w:p w14:paraId="00E58565"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Phiếu theo dõi quá trình xử lý công việc theo Quy trình ISO</w:t>
            </w:r>
          </w:p>
          <w:p w14:paraId="003B2962"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Kết quả theo dõi, kiểm tra của Bộ phận Một cửa và Văn phòng NHNN</w:t>
            </w:r>
          </w:p>
          <w:p w14:paraId="78AF3A7A"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Kết quả đánh giá trực tuyến của cá nhân, tổ chức</w:t>
            </w:r>
          </w:p>
        </w:tc>
      </w:tr>
      <w:tr w:rsidR="00C15B78" w:rsidRPr="00C15B78" w14:paraId="58CF225A" w14:textId="77777777" w:rsidTr="00C15B78">
        <w:trPr>
          <w:tblCellSpacing w:w="0" w:type="dxa"/>
        </w:trPr>
        <w:tc>
          <w:tcPr>
            <w:tcW w:w="250" w:type="pct"/>
            <w:tcBorders>
              <w:top w:val="nil"/>
              <w:left w:val="single" w:sz="8" w:space="0" w:color="auto"/>
              <w:bottom w:val="single" w:sz="8" w:space="0" w:color="auto"/>
              <w:right w:val="single" w:sz="8" w:space="0" w:color="auto"/>
            </w:tcBorders>
            <w:hideMark/>
          </w:tcPr>
          <w:p w14:paraId="7D63FD7C"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3</w:t>
            </w:r>
          </w:p>
        </w:tc>
        <w:tc>
          <w:tcPr>
            <w:tcW w:w="1000" w:type="pct"/>
            <w:tcBorders>
              <w:top w:val="nil"/>
              <w:left w:val="nil"/>
              <w:bottom w:val="single" w:sz="8" w:space="0" w:color="auto"/>
              <w:right w:val="single" w:sz="8" w:space="0" w:color="auto"/>
            </w:tcBorders>
            <w:hideMark/>
          </w:tcPr>
          <w:p w14:paraId="00008825"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Tiêu chí 2: Thời gian phối hợp giải quyết thủ tục hành chính</w:t>
            </w:r>
          </w:p>
        </w:tc>
        <w:tc>
          <w:tcPr>
            <w:tcW w:w="2700" w:type="pct"/>
            <w:tcBorders>
              <w:top w:val="nil"/>
              <w:left w:val="nil"/>
              <w:bottom w:val="single" w:sz="8" w:space="0" w:color="auto"/>
              <w:right w:val="single" w:sz="8" w:space="0" w:color="auto"/>
            </w:tcBorders>
            <w:hideMark/>
          </w:tcPr>
          <w:p w14:paraId="2F739DED"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Việc chấm điểm tiêu chí này được chấm điểm cho từng hồ sơ giải quyết TTHC trong kỳ (bao gồm: hồ sơ do đơn vị thực hiện; hồ sơ TTHC do đơn vị khác thực hiện và đơn vị phải cho ý kiến góp ý): ít hơn thời gian quy định 2 điểm, đúng thời gian quy định 1 điểm, nhiều hơn thời gian quy định 0 điểm.</w:t>
            </w:r>
          </w:p>
          <w:p w14:paraId="017E6691"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i/>
                <w:iCs/>
                <w:color w:val="000000"/>
                <w:sz w:val="24"/>
                <w:szCs w:val="24"/>
                <w:lang w:val="vi-VN"/>
              </w:rPr>
              <w:t>Điểm tiêu chí 2 = Tổng điểm số của các hồ sơ giải quyết TTHC/Tổng số hồ sơ giải quyết TTHC.</w:t>
            </w:r>
          </w:p>
          <w:p w14:paraId="6931854A"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Kết quả được làm tròn phần thập phân đến một (01) chữ số.</w:t>
            </w:r>
          </w:p>
          <w:p w14:paraId="2BD36611"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Ví dụ: trong kỳ đơn vị giải quyết 04 hồ sơ và phối hợp với đơn vị khác giải quyết 02 hồ sơ, trong đó có 02 hồ sơ trễ hạn, 03 hồ sơ trước hạn và 01 hồ sơ đúng hạn, điểm tiêu chí 2 được tính như sau:</w:t>
            </w:r>
          </w:p>
          <w:p w14:paraId="67FF549E"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Điểm tiêu chí 2 = [(2x0) + (3x2) +(1x1)]/6 = 1.2</w:t>
            </w:r>
          </w:p>
        </w:tc>
        <w:tc>
          <w:tcPr>
            <w:tcW w:w="950" w:type="pct"/>
            <w:tcBorders>
              <w:top w:val="nil"/>
              <w:left w:val="nil"/>
              <w:bottom w:val="single" w:sz="8" w:space="0" w:color="auto"/>
              <w:right w:val="single" w:sz="8" w:space="0" w:color="auto"/>
            </w:tcBorders>
            <w:hideMark/>
          </w:tcPr>
          <w:p w14:paraId="495E2550"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Thống kê của các đơn vị.</w:t>
            </w:r>
          </w:p>
          <w:p w14:paraId="3BCA47D4"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Kết quả theo dõi, kiểm tra của Bộ phận một cửa và Văn phòng NHNN</w:t>
            </w:r>
          </w:p>
          <w:p w14:paraId="5A325AB8"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Phiếu theo dõi quá trình xử lý công việc theo Quy trình ISO</w:t>
            </w:r>
          </w:p>
        </w:tc>
      </w:tr>
      <w:tr w:rsidR="00C15B78" w:rsidRPr="00C15B78" w14:paraId="186D2D02" w14:textId="77777777" w:rsidTr="00C15B78">
        <w:trPr>
          <w:tblCellSpacing w:w="0" w:type="dxa"/>
        </w:trPr>
        <w:tc>
          <w:tcPr>
            <w:tcW w:w="250" w:type="pct"/>
            <w:tcBorders>
              <w:top w:val="nil"/>
              <w:left w:val="single" w:sz="8" w:space="0" w:color="auto"/>
              <w:bottom w:val="single" w:sz="8" w:space="0" w:color="auto"/>
              <w:right w:val="single" w:sz="8" w:space="0" w:color="auto"/>
            </w:tcBorders>
            <w:hideMark/>
          </w:tcPr>
          <w:p w14:paraId="1D65CAE9"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4</w:t>
            </w:r>
          </w:p>
        </w:tc>
        <w:tc>
          <w:tcPr>
            <w:tcW w:w="1000" w:type="pct"/>
            <w:tcBorders>
              <w:top w:val="nil"/>
              <w:left w:val="nil"/>
              <w:bottom w:val="single" w:sz="8" w:space="0" w:color="auto"/>
              <w:right w:val="single" w:sz="8" w:space="0" w:color="auto"/>
            </w:tcBorders>
            <w:hideMark/>
          </w:tcPr>
          <w:p w14:paraId="65261BEB"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Tiêu chí 3: Số lần tổ chức, cá nhân phải liên hệ với nơi tiếp nhận hồ sơ </w:t>
            </w:r>
            <w:r w:rsidRPr="00C15B78">
              <w:rPr>
                <w:rFonts w:ascii="Times New Roman" w:eastAsia="Times New Roman" w:hAnsi="Times New Roman"/>
                <w:i/>
                <w:iCs/>
                <w:color w:val="000000"/>
                <w:sz w:val="24"/>
                <w:szCs w:val="24"/>
                <w:lang w:val="vi-VN"/>
              </w:rPr>
              <w:t>(trừ trường hợp nguyên nhân thuộc trách nhiệm của người nộp hồ sơ)</w:t>
            </w:r>
            <w:r w:rsidRPr="00C15B78">
              <w:rPr>
                <w:rFonts w:ascii="Times New Roman" w:eastAsia="Times New Roman" w:hAnsi="Times New Roman"/>
                <w:color w:val="000000"/>
                <w:sz w:val="24"/>
                <w:szCs w:val="24"/>
                <w:lang w:val="vi-VN"/>
              </w:rPr>
              <w:t> để hoàn thiện hồ sơ thủ tục hành chính (kể cả theo hình thức trực tuyến)</w:t>
            </w:r>
          </w:p>
        </w:tc>
        <w:tc>
          <w:tcPr>
            <w:tcW w:w="2700" w:type="pct"/>
            <w:tcBorders>
              <w:top w:val="nil"/>
              <w:left w:val="nil"/>
              <w:bottom w:val="single" w:sz="8" w:space="0" w:color="auto"/>
              <w:right w:val="single" w:sz="8" w:space="0" w:color="auto"/>
            </w:tcBorders>
            <w:hideMark/>
          </w:tcPr>
          <w:p w14:paraId="0209E6F5"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Việc chấm điểm tiêu chí này được chấm điểm cho từng hồ sơ giải quyết TTHC: Nếu tổ chức, cá nhân không phải liên hệ với nơi tiếp nhận hồ sơ thủ tục hành chính lần nào để hoàn thiện hồ sơ thì điểm đánh giá là 2.</w:t>
            </w:r>
          </w:p>
          <w:p w14:paraId="50EDFDA6"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Nếu liên hệ 1 lần với nơi tiếp nhận hồ sơ thủ tục hành chính </w:t>
            </w:r>
            <w:r w:rsidRPr="00C15B78">
              <w:rPr>
                <w:rFonts w:ascii="Times New Roman" w:eastAsia="Times New Roman" w:hAnsi="Times New Roman"/>
                <w:i/>
                <w:iCs/>
                <w:color w:val="000000"/>
                <w:sz w:val="24"/>
                <w:szCs w:val="24"/>
                <w:lang w:val="vi-VN"/>
              </w:rPr>
              <w:t>(trừ trường hợp nguyên nhân thuộc trách nhiệm của người nộp hồ sơ)</w:t>
            </w:r>
            <w:r w:rsidRPr="00C15B78">
              <w:rPr>
                <w:rFonts w:ascii="Times New Roman" w:eastAsia="Times New Roman" w:hAnsi="Times New Roman"/>
                <w:color w:val="000000"/>
                <w:sz w:val="24"/>
                <w:szCs w:val="24"/>
                <w:lang w:val="vi-VN"/>
              </w:rPr>
              <w:t> để hoàn thiện hồ sơ thì điểm đánh giá là 1.</w:t>
            </w:r>
          </w:p>
          <w:p w14:paraId="5528AF6F"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Nếu liên hệ hơn 1 lần với nơi tiếp nhận hồ sơ thủ tục hành chính để hoàn thiện hồ sơ (trừ trường hợp nguyên nhân thuộc trách nhiệm của người nộp hồ sơ) thì điểm đánh giá là 0.</w:t>
            </w:r>
          </w:p>
          <w:p w14:paraId="14DF15E9"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i/>
                <w:iCs/>
                <w:color w:val="000000"/>
                <w:sz w:val="24"/>
                <w:szCs w:val="24"/>
                <w:lang w:val="vi-VN"/>
              </w:rPr>
              <w:t>Điểm tiêu chí 3 = Tổng điểm số của các hồ sơ giải quyết TTHC/Tổng số hồ sơ giải quyết TTHC.</w:t>
            </w:r>
          </w:p>
          <w:p w14:paraId="4D58444A"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Kết quả được làm tròn phần thập phân đến một (01) chữ số.</w:t>
            </w:r>
          </w:p>
          <w:p w14:paraId="4E40B102"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Ví dụ: trong kỳ giải quyết 05 hồ sơ, trong đó có 02 hồ sơ tổ chức, cá nhân không phải liên hệ để hoàn thiện, 03 hồ sơ tổ chức, cá nhân phải liên hệ 01 lần để hoàn thiện và 0 hồ sơ liên hệ hơn 01 lần, điểm tiêu chí 3 được tính như sau:</w:t>
            </w:r>
          </w:p>
          <w:p w14:paraId="22D389AC"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Điểm tiêu chí 3 = [(2x2) + (3x1) +(0x0)]/5 = 1.4</w:t>
            </w:r>
          </w:p>
        </w:tc>
        <w:tc>
          <w:tcPr>
            <w:tcW w:w="950" w:type="pct"/>
            <w:tcBorders>
              <w:top w:val="nil"/>
              <w:left w:val="nil"/>
              <w:bottom w:val="single" w:sz="8" w:space="0" w:color="auto"/>
              <w:right w:val="single" w:sz="8" w:space="0" w:color="auto"/>
            </w:tcBorders>
            <w:hideMark/>
          </w:tcPr>
          <w:p w14:paraId="28554D33"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Kết quả theo dõi, kiểm tra của Bộ phận một cửa và Văn phòng NHNN</w:t>
            </w:r>
          </w:p>
          <w:p w14:paraId="6B7F5C77"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Phiếu đánh giá của tổ chức, cá nhân đến thực hiện TTHC</w:t>
            </w:r>
          </w:p>
          <w:p w14:paraId="100B3140"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Kết quả đánh giá trực tuyến của cá nhân, tổ chức</w:t>
            </w:r>
          </w:p>
        </w:tc>
      </w:tr>
      <w:tr w:rsidR="00C15B78" w:rsidRPr="00C15B78" w14:paraId="6AE0F518" w14:textId="77777777" w:rsidTr="00C15B78">
        <w:trPr>
          <w:tblCellSpacing w:w="0" w:type="dxa"/>
        </w:trPr>
        <w:tc>
          <w:tcPr>
            <w:tcW w:w="250" w:type="pct"/>
            <w:tcBorders>
              <w:top w:val="nil"/>
              <w:left w:val="single" w:sz="8" w:space="0" w:color="auto"/>
              <w:bottom w:val="single" w:sz="8" w:space="0" w:color="auto"/>
              <w:right w:val="single" w:sz="8" w:space="0" w:color="auto"/>
            </w:tcBorders>
            <w:hideMark/>
          </w:tcPr>
          <w:p w14:paraId="2F646784"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5</w:t>
            </w:r>
          </w:p>
        </w:tc>
        <w:tc>
          <w:tcPr>
            <w:tcW w:w="1000" w:type="pct"/>
            <w:tcBorders>
              <w:top w:val="nil"/>
              <w:left w:val="nil"/>
              <w:bottom w:val="single" w:sz="8" w:space="0" w:color="auto"/>
              <w:right w:val="single" w:sz="8" w:space="0" w:color="auto"/>
            </w:tcBorders>
            <w:hideMark/>
          </w:tcPr>
          <w:p w14:paraId="39E3F8DD"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Tiêu chí 4: Số lượng cơ quan, đơn vị, tổ chức phải liên hệ để hoàn thiện hồ sơ thủ tục hành chính (kể cả theo hình thức trực tuyến)</w:t>
            </w:r>
          </w:p>
        </w:tc>
        <w:tc>
          <w:tcPr>
            <w:tcW w:w="2700" w:type="pct"/>
            <w:tcBorders>
              <w:top w:val="nil"/>
              <w:left w:val="nil"/>
              <w:bottom w:val="single" w:sz="8" w:space="0" w:color="auto"/>
              <w:right w:val="single" w:sz="8" w:space="0" w:color="auto"/>
            </w:tcBorders>
            <w:hideMark/>
          </w:tcPr>
          <w:p w14:paraId="79CEFBD1"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*Việc chấm điểm tiêu chí này được chấm điểm cho từng hồ sơ giải quyết TTHC: Nếu không phải liên hệ với cơ quan, đơn vị, tổ chức nào để hoàn thiện hồ sơ trong giải quyết thủ tục hành chính thì điểm đánh giá là 2.</w:t>
            </w:r>
          </w:p>
          <w:p w14:paraId="149F7059"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Nếu chỉ phải liên hệ với một cơ quan, đơn vị để hoàn thiện hồ sơ trong giải quyết thủ tục hành chính (trừ trường hợp theo quy định pháp luật, tổ chức, cá nhân phải trực tiếp tham gia và hoàn thiện hồ sơ giải quyết theo kết quả kiểm tra, xác minh thực tế, kết quả họp Hội đồng thẩm định, thẩm tra trong giải trình giải quyết thủ tục hành chính) thì điểm đánh giá là 1.</w:t>
            </w:r>
          </w:p>
          <w:p w14:paraId="43A5BDB4"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Nếu phải liên hệ với nhiều hơn 1 cơ quan, đơn vị, tổ chức để hoàn thiện hồ sơ trong giải quyết thủ tục hành chính thì điểm đánh giá là 0.</w:t>
            </w:r>
          </w:p>
          <w:p w14:paraId="486B8525"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i/>
                <w:iCs/>
                <w:color w:val="000000"/>
                <w:sz w:val="24"/>
                <w:szCs w:val="24"/>
                <w:lang w:val="vi-VN"/>
              </w:rPr>
              <w:t>Điểm tiêu chí 4 = Tổng điểm số của các hồ sơ giải quyết TTHC/Tổng số hồ sơ giải quyết TTHC.</w:t>
            </w:r>
          </w:p>
          <w:p w14:paraId="5FDFC5B7"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Kết quả được làm tròn phần thập phân đến một (01) chữ số.</w:t>
            </w:r>
          </w:p>
          <w:p w14:paraId="26B0DF30"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Ví dụ: trong kỳ giải quyết 07 hồ sơ, trong đó có 02 hồ sơ tổ chức, cá nhân không phải liên hệ để hoàn thiện, 04 hồ sơ tổ chức, cá nhân phải liên hệ với 1 cơ quan, đơn vị để hoàn thiện và 01 hồ sơ liên hệ hơn 1 cơ quan, đơn vị, điểm tiêu chí 4 được tính như sau:</w:t>
            </w:r>
          </w:p>
          <w:p w14:paraId="6A6F08E1"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Điểm tiêu chí 4 = [(2x2) + (4x1) +(01x0)]/7 = 1.1</w:t>
            </w:r>
          </w:p>
        </w:tc>
        <w:tc>
          <w:tcPr>
            <w:tcW w:w="950" w:type="pct"/>
            <w:tcBorders>
              <w:top w:val="nil"/>
              <w:left w:val="nil"/>
              <w:bottom w:val="single" w:sz="8" w:space="0" w:color="auto"/>
              <w:right w:val="single" w:sz="8" w:space="0" w:color="auto"/>
            </w:tcBorders>
            <w:hideMark/>
          </w:tcPr>
          <w:p w14:paraId="40B494C7"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Kết quả theo dõi, kiểm tra của Bộ phận một cửa và Văn phòng NHNN</w:t>
            </w:r>
          </w:p>
          <w:p w14:paraId="6ABC657D"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Phiếu đánh giá của tổ chức, cá nhân đến thực hiện TTHC</w:t>
            </w:r>
          </w:p>
          <w:p w14:paraId="588E6C63"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Kết quả đánh giá trực tuyến của cá nhân, tổ chức</w:t>
            </w:r>
          </w:p>
        </w:tc>
      </w:tr>
      <w:tr w:rsidR="00C15B78" w:rsidRPr="00C15B78" w14:paraId="5BD57884" w14:textId="77777777" w:rsidTr="00C15B78">
        <w:trPr>
          <w:tblCellSpacing w:w="0" w:type="dxa"/>
        </w:trPr>
        <w:tc>
          <w:tcPr>
            <w:tcW w:w="250" w:type="pct"/>
            <w:tcBorders>
              <w:top w:val="nil"/>
              <w:left w:val="single" w:sz="8" w:space="0" w:color="auto"/>
              <w:bottom w:val="single" w:sz="8" w:space="0" w:color="auto"/>
              <w:right w:val="single" w:sz="8" w:space="0" w:color="auto"/>
            </w:tcBorders>
            <w:hideMark/>
          </w:tcPr>
          <w:p w14:paraId="53277F78" w14:textId="77777777" w:rsidR="00C15B78" w:rsidRPr="00C15B78" w:rsidRDefault="00C15B78" w:rsidP="00C15B78">
            <w:pPr>
              <w:spacing w:before="120" w:after="120" w:line="276" w:lineRule="auto"/>
              <w:jc w:val="center"/>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6</w:t>
            </w:r>
          </w:p>
        </w:tc>
        <w:tc>
          <w:tcPr>
            <w:tcW w:w="1000" w:type="pct"/>
            <w:tcBorders>
              <w:top w:val="nil"/>
              <w:left w:val="nil"/>
              <w:bottom w:val="single" w:sz="8" w:space="0" w:color="auto"/>
              <w:right w:val="single" w:sz="8" w:space="0" w:color="auto"/>
            </w:tcBorders>
            <w:hideMark/>
          </w:tcPr>
          <w:p w14:paraId="2D521236"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Tiêu chí 5: Thái độ của công chức khi hướng dẫn lập hồ sơ, tiếp nhận hồ sơ và giải quyết thủ tục hành chính</w:t>
            </w:r>
          </w:p>
        </w:tc>
        <w:tc>
          <w:tcPr>
            <w:tcW w:w="2700" w:type="pct"/>
            <w:tcBorders>
              <w:top w:val="nil"/>
              <w:left w:val="nil"/>
              <w:bottom w:val="single" w:sz="8" w:space="0" w:color="auto"/>
              <w:right w:val="single" w:sz="8" w:space="0" w:color="auto"/>
            </w:tcBorders>
            <w:vAlign w:val="bottom"/>
            <w:hideMark/>
          </w:tcPr>
          <w:p w14:paraId="40915F82"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Việc chấm điểm tiêu chí này được chấm điểm cho từng hồ sơ giải quyết TTHC:</w:t>
            </w:r>
          </w:p>
          <w:p w14:paraId="2409D96B"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Khi không có ý kiến phản ánh, kiến nghị về hành vi, thái độ nhũng nhiễu, gây phiền hà, không thực hiện hoặc thực hiện không đúng quy định pháp luật và tiếp nhận, trả kết quả hồ sơ ít hơn thời hạn quy định thì điểm đánh giá là 2.</w:t>
            </w:r>
          </w:p>
          <w:p w14:paraId="28E69386"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Khi không có ý kiến phản ánh, kiến nghị về hành vi, thái độ nhũng nhiễu, gây phiền hà, không thực hiện hoặc thực hiện không đúng quy định pháp luật và tiếp nhận, trả kết quả hồ sơ đúng thời hạn quy định và thì điểm đánh giá là 1.</w:t>
            </w:r>
          </w:p>
          <w:p w14:paraId="30B63141"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Khi có ý kiến phản ánh, kiến nghị về hành vi, thái độ nhũng nhiễu, gây phiền hà, không thực hiện hoặc thực hiện không đúng quy định pháp luật (trừ trường hợp phản ánh, kiến nghị được cơ quan có thẩm quyền xác minh, kết luận là không đúng) thì điểm đánh giá là 0.</w:t>
            </w:r>
          </w:p>
          <w:p w14:paraId="588C5F95"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i/>
                <w:iCs/>
                <w:color w:val="000000"/>
                <w:sz w:val="24"/>
                <w:szCs w:val="24"/>
                <w:lang w:val="vi-VN"/>
              </w:rPr>
              <w:t>Điểm tiêu chí 5 = Tổng điểm số của các hồ sơ giải quyết TTHC/Tổng số hồ sơ giải quyết TTHC.</w:t>
            </w:r>
          </w:p>
          <w:p w14:paraId="1C3BB039"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Kết quả được làm tròn phần thập phân đến một (01) chữ số.</w:t>
            </w:r>
          </w:p>
          <w:p w14:paraId="38E42D0F"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Ví dụ: trong kỳ giải quyết 07 hồ sơ, trong đó có 04 hồ sơ sớm, không có phản ánh, 02 hồ sơ đúng hạn và không có phản ánh và 01 hồ sơ có ý kiến phản ánh, điểm tiêu chí 5 được tính như sau:</w:t>
            </w:r>
          </w:p>
          <w:p w14:paraId="24A174B0"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Điểm tiêu chí 5 = [(4x2) + (2x1) +(01x0)]/7 = 1.4</w:t>
            </w:r>
          </w:p>
        </w:tc>
        <w:tc>
          <w:tcPr>
            <w:tcW w:w="950" w:type="pct"/>
            <w:tcBorders>
              <w:top w:val="nil"/>
              <w:left w:val="nil"/>
              <w:bottom w:val="single" w:sz="8" w:space="0" w:color="auto"/>
              <w:right w:val="single" w:sz="8" w:space="0" w:color="auto"/>
            </w:tcBorders>
            <w:hideMark/>
          </w:tcPr>
          <w:p w14:paraId="61064E6A"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Kết quả theo dõi, kiểm tra của Bộ phận một cửa và Văn phòng NHNN</w:t>
            </w:r>
          </w:p>
          <w:p w14:paraId="49FB277A"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Phiếu đánh giá của tổ chức, cá nhân đến thực hiện TTHC</w:t>
            </w:r>
          </w:p>
          <w:p w14:paraId="43264D89"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Kết quả đánh giá trực tuyến của cá nhân, tổ chức</w:t>
            </w:r>
          </w:p>
          <w:p w14:paraId="2F794EEC" w14:textId="77777777" w:rsidR="00C15B78" w:rsidRPr="00C15B78" w:rsidRDefault="00C15B78" w:rsidP="00C15B78">
            <w:pPr>
              <w:spacing w:before="120" w:after="120" w:line="276" w:lineRule="auto"/>
              <w:rPr>
                <w:rFonts w:ascii="Times New Roman" w:eastAsia="Times New Roman" w:hAnsi="Times New Roman"/>
                <w:color w:val="000000"/>
                <w:sz w:val="24"/>
                <w:szCs w:val="24"/>
              </w:rPr>
            </w:pPr>
            <w:r w:rsidRPr="00C15B78">
              <w:rPr>
                <w:rFonts w:ascii="Times New Roman" w:eastAsia="Times New Roman" w:hAnsi="Times New Roman"/>
                <w:color w:val="000000"/>
                <w:sz w:val="24"/>
                <w:szCs w:val="24"/>
                <w:lang w:val="vi-VN"/>
              </w:rPr>
              <w:t>- Phản ánh tại hòm thư góp ý và đường dây nóng của Ngân hàng Nhà nước</w:t>
            </w:r>
          </w:p>
        </w:tc>
      </w:tr>
    </w:tbl>
    <w:p w14:paraId="277D566B" w14:textId="77777777" w:rsidR="00513385" w:rsidRPr="00C15B78" w:rsidRDefault="00513385" w:rsidP="00C15B78">
      <w:pPr>
        <w:spacing w:before="120" w:line="276" w:lineRule="auto"/>
        <w:rPr>
          <w:rFonts w:ascii="Times New Roman" w:hAnsi="Times New Roman"/>
          <w:sz w:val="24"/>
          <w:szCs w:val="24"/>
        </w:rPr>
      </w:pPr>
    </w:p>
    <w:sectPr w:rsidR="00513385" w:rsidRPr="00C15B7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15B78"/>
    <w:rsid w:val="00513385"/>
    <w:rsid w:val="00C15B78"/>
    <w:rsid w:val="00DB402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28989"/>
  <w15:chartTrackingRefBased/>
  <w15:docId w15:val="{5E7CEB31-AF9D-415A-9EC2-23B7405A5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15B78"/>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2230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1405</Words>
  <Characters>8015</Characters>
  <Application>Microsoft Office Word</Application>
  <DocSecurity>4</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2026-05-20T19:45:00Z</dcterms:created>
  <dcterms:modified xsi:type="dcterms:W3CDTF">2026-05-20T19:45:00Z</dcterms:modified>
</cp:coreProperties>
</file>