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44fdcd3c160f4d8d" /></Relationships>
</file>

<file path=word/document.xml><?xml version="1.0" encoding="utf-8"?>
<w:document xmlns:r="http://schemas.openxmlformats.org/officeDocument/2006/relationships" xmlns:w="http://schemas.openxmlformats.org/wordprocessingml/2006/main">
  <w:body>
    <w:p>
      <w:pPr>
        <w:pBdr>
          <w:bottom w:val="single" w:color="1a365d" w:sz="24"/>
        </w:pBdr>
        <w:spacing w:before="400" w:after="200"/>
        <w:jc w:val="center"/>
      </w:pPr>
      <w:r>
        <w:rPr>
          <w:color w:val="1a365d"/>
          <w:sz w:val="28"/>
        </w:rPr>
        <w:t>★  ★  ★</w:t>
      </w:r>
    </w:p>
    <w:p>
      <w:pPr>
        <w:spacing w:before="800" w:after="200"/>
        <w:jc w:val="center"/>
      </w:pPr>
      <w:r>
        <w:rPr>
          <w:b/>
          <w:caps/>
          <w:color w:val="1a365d"/>
          <w:sz w:val="56"/>
        </w:rPr>
        <w:t>FORENSIC FISCAL AUDIT</w:t>
      </w:r>
    </w:p>
    <w:p>
      <w:pPr>
        <w:spacing w:after="400"/>
        <w:jc w:val="center"/>
      </w:pPr>
      <w:r>
        <w:rPr>
          <w:b/>
          <w:color w:val="c53030"/>
          <w:sz w:val="48"/>
        </w:rPr>
        <w:t>ORDER 322</w:t>
      </w:r>
    </w:p>
    <w:p>
      <w:pPr>
        <w:spacing w:after="200"/>
        <w:jc w:val="center"/>
      </w:pPr>
      <w:r>
        <w:rPr>
          <w:color w:val="2c5282"/>
          <w:sz w:val="32"/>
        </w:rPr>
        <w:t>Skull and Bones Society / Russell Trust Association</w:t>
      </w:r>
    </w:p>
    <w:p>
      <w:pPr>
        <w:spacing w:before="600" w:after="200"/>
        <w:jc w:val="center"/>
      </w:pPr>
      <w:r>
        <w:rPr>
          <w:b/>
          <w:color w:val="1a202c"/>
          <w:sz w:val="28"/>
        </w:rPr>
        <w:t>COMPREHENSIVE AFFIDAVIT AND ARREST WARRANT</w:t>
      </w:r>
    </w:p>
    <w:p>
      <w:pPr>
        <w:spacing w:after="600"/>
        <w:jc w:val="center"/>
      </w:pPr>
      <w:r>
        <w:rPr>
          <w:color w:val="4a5568"/>
          <w:sz w:val="24"/>
        </w:rPr>
        <w:t>Names, Financial Records, and Crimes Against Humanity</w:t>
      </w:r>
    </w:p>
    <w:p>
      <w:pPr>
        <w:shd w:val="clear" w:fill="fed7d7"/>
        <w:spacing w:before="400" w:after="200"/>
        <w:jc w:val="center"/>
      </w:pPr>
      <w:r>
        <w:rPr>
          <w:b/>
          <w:color w:val="c53030"/>
          <w:sz w:val="22"/>
        </w:rPr>
        <w:t>CLASSIFICATION: OPEN SOURCE INTELLIGENCE // LAW ENFORCEMENT SENSITIVE</w:t>
      </w:r>
    </w:p>
    <w:p>
      <w:pPr>
        <w:spacing w:before="800" w:after="200"/>
        <w:jc w:val="center"/>
      </w:pPr>
      <w:r>
        <w:rPr>
          <w:b/>
          <w:color w:val="1a202c"/>
          <w:sz w:val="28"/>
        </w:rPr>
        <w:t>February 28, 2026</w:t>
      </w:r>
    </w:p>
    <w:p>
      <w:pPr>
        <w:spacing w:before="400" w:after="200"/>
        <w:jc w:val="center"/>
      </w:pPr>
      <w:r>
        <w:rPr>
          <w:i/>
          <w:color w:val="718096"/>
          <w:sz w:val="20"/>
        </w:rPr>
        <w:t>Keywords: RICO, Russell Trust Association, DOD Accounting Fraud, War Crimes, Money Laundering, Civil Arrest</w:t>
      </w:r>
    </w:p>
    <w:p>
      <w:pPr>
        <w:pBdr>
          <w:top w:val="single" w:color="1a365d" w:sz="24"/>
        </w:pBdr>
        <w:spacing w:before="800" w:after="200"/>
        <w:jc w:val="center"/>
      </w:pPr>
      <w:r>
        <w:rPr>
          <w:color w:val="1a365d"/>
          <w:sz w:val="28"/>
        </w:rPr>
        <w:t>★  ★  ★</w:t>
      </w:r>
    </w:p>
    <w:p>
      <w:pPr>
        <w:sectPr>
          <w:type w:val="nextPage"/>
          <w:pgSz w:w="11906" w:h="16838"/>
          <w:pgMar w:top="1440" w:right="1440" w:bottom="1440" w:left="1440" w:header="720" w:footer="720"/>
        </w:sectPr>
      </w:pPr>
    </w:p>
    <w:p>
      <w:pPr>
        <w:pStyle w:val="Heading1"/>
      </w:pPr>
      <w:r>
        <w:t>TABLE OF CONTENTS</w:t>
      </w:r>
    </w:p>
    <w:p>
      <w:pPr>
        <w:spacing w:after="300"/>
      </w:pPr>
      <w:r>
        <w:rPr>
          <w:color w:val="718096"/>
          <w:sz w:val="20"/>
        </w:rPr>
        <w:t>(Right-click and select "Update Field" to refresh page numbers)</w:t>
      </w:r>
    </w:p>
    <w:p>
      <w:r>
        <w:fldChar w:fldCharType="begin"/>
      </w:r>
      <w:r>
        <w:instrText xml:space="preserve"> TOC \o "1-3" \h \z \u </w:instrText>
      </w:r>
      <w:r>
        <w:fldChar w:fldCharType="separate"/>
      </w:r>
    </w:p>
    <w:p>
      <w:pPr>
        <w:pStyle w:val="TOC1"/>
      </w:pPr>
      <w:r>
        <w:t>PART I: INTERNATIONAL DECLARATION OF ACTION AND SOVEREIGNTY</w:t>
      </w:r>
      <w:r>
        <w:tab/>
      </w:r>
      <w:r>
        <w:t>3</w:t>
      </w:r>
    </w:p>
    <w:p>
      <w:pPr>
        <w:pStyle w:val="TOC1"/>
      </w:pPr>
      <w:r>
        <w:t>PART II: FORENSIC FISCAL AUDIT - ORDER 322</w:t>
      </w:r>
      <w:r>
        <w:tab/>
      </w:r>
      <w:r>
        <w:t>8</w:t>
      </w:r>
    </w:p>
    <w:p>
      <w:pPr>
        <w:pStyle w:val="TOC2"/>
      </w:pPr>
      <w:r>
        <w:t>Organization Structure</w:t>
      </w:r>
      <w:r>
        <w:tab/>
      </w:r>
      <w:r>
        <w:t>8</w:t>
      </w:r>
    </w:p>
    <w:p>
      <w:pPr>
        <w:pStyle w:val="TOC2"/>
      </w:pPr>
      <w:r>
        <w:t>Financial Assets Audit</w:t>
      </w:r>
      <w:r>
        <w:tab/>
      </w:r>
      <w:r>
        <w:t>9</w:t>
      </w:r>
    </w:p>
    <w:p>
      <w:pPr>
        <w:pStyle w:val="TOC2"/>
      </w:pPr>
      <w:r>
        <w:t>Nazi Germany Connections</w:t>
      </w:r>
      <w:r>
        <w:tab/>
      </w:r>
      <w:r>
        <w:t>10</w:t>
      </w:r>
    </w:p>
    <w:p>
      <w:pPr>
        <w:pStyle w:val="TOC2"/>
      </w:pPr>
      <w:r>
        <w:t>CIA Infiltration</w:t>
      </w:r>
      <w:r>
        <w:tab/>
      </w:r>
      <w:r>
        <w:t>12</w:t>
      </w:r>
    </w:p>
    <w:p>
      <w:pPr>
        <w:pStyle w:val="TOC2"/>
      </w:pPr>
      <w:r>
        <w:t>Political Infiltration</w:t>
      </w:r>
      <w:r>
        <w:tab/>
      </w:r>
      <w:r>
        <w:t>14</w:t>
      </w:r>
    </w:p>
    <w:p>
      <w:pPr>
        <w:pStyle w:val="TOC2"/>
      </w:pPr>
      <w:r>
        <w:t>Pentagon Missing Money</w:t>
      </w:r>
      <w:r>
        <w:tab/>
      </w:r>
      <w:r>
        <w:t>16</w:t>
      </w:r>
    </w:p>
    <w:p>
      <w:pPr>
        <w:pStyle w:val="TOC2"/>
      </w:pPr>
      <w:r>
        <w:t>Secret Rituals and Blackmail</w:t>
      </w:r>
      <w:r>
        <w:tab/>
      </w:r>
      <w:r>
        <w:t>18</w:t>
      </w:r>
    </w:p>
    <w:p>
      <w:pPr>
        <w:pStyle w:val="TOC2"/>
      </w:pPr>
      <w:r>
        <w:t>Crimes Against Humanity</w:t>
      </w:r>
      <w:r>
        <w:tab/>
      </w:r>
      <w:r>
        <w:t>20</w:t>
      </w:r>
    </w:p>
    <w:p>
      <w:pPr>
        <w:pStyle w:val="TOC1"/>
      </w:pPr>
      <w:r>
        <w:t>PART III: CRIMINAL PERSON PROFILES</w:t>
      </w:r>
      <w:r>
        <w:tab/>
      </w:r>
      <w:r>
        <w:t>22</w:t>
      </w:r>
    </w:p>
    <w:p>
      <w:pPr>
        <w:pStyle w:val="TOC2"/>
      </w:pPr>
      <w:r>
        <w:t>Current RTA Leadership</w:t>
      </w:r>
      <w:r>
        <w:tab/>
      </w:r>
      <w:r>
        <w:t>22</w:t>
      </w:r>
    </w:p>
    <w:p>
      <w:pPr>
        <w:pStyle w:val="TOC2"/>
      </w:pPr>
      <w:r>
        <w:t>Bush Family Dynasty</w:t>
      </w:r>
      <w:r>
        <w:tab/>
      </w:r>
      <w:r>
        <w:t>24</w:t>
      </w:r>
    </w:p>
    <w:p>
      <w:pPr>
        <w:pStyle w:val="TOC2"/>
      </w:pPr>
      <w:r>
        <w:t>Nazi Financing Network</w:t>
      </w:r>
      <w:r>
        <w:tab/>
      </w:r>
      <w:r>
        <w:t>27</w:t>
      </w:r>
    </w:p>
    <w:p>
      <w:pPr>
        <w:pStyle w:val="TOC2"/>
      </w:pPr>
      <w:r>
        <w:t>CIA Infiltration Network</w:t>
      </w:r>
      <w:r>
        <w:tab/>
      </w:r>
      <w:r>
        <w:t>28</w:t>
      </w:r>
    </w:p>
    <w:p>
      <w:pPr>
        <w:pStyle w:val="TOC2"/>
      </w:pPr>
      <w:r>
        <w:t>Vietnam War Criminals</w:t>
      </w:r>
      <w:r>
        <w:tab/>
      </w:r>
      <w:r>
        <w:t>29</w:t>
      </w:r>
    </w:p>
    <w:p>
      <w:pPr>
        <w:pStyle w:val="TOC2"/>
      </w:pPr>
      <w:r>
        <w:t>Iraq War Architects</w:t>
      </w:r>
      <w:r>
        <w:tab/>
      </w:r>
      <w:r>
        <w:t>30</w:t>
      </w:r>
    </w:p>
    <w:p>
      <w:pPr>
        <w:pStyle w:val="TOC2"/>
      </w:pPr>
      <w:r>
        <w:t>Financial Criminals</w:t>
      </w:r>
      <w:r>
        <w:tab/>
      </w:r>
      <w:r>
        <w:t>31</w:t>
      </w:r>
    </w:p>
    <w:p>
      <w:pPr>
        <w:pStyle w:val="TOC1"/>
      </w:pPr>
      <w:r>
        <w:t>PART IV: LIVING CRIMINALS - CURRENT ACTIVITY</w:t>
      </w:r>
      <w:r>
        <w:tab/>
      </w:r>
      <w:r>
        <w:t>33</w:t>
      </w:r>
    </w:p>
    <w:p>
      <w:pPr>
        <w:pStyle w:val="TOC1"/>
      </w:pPr>
      <w:r>
        <w:t>PART V: COMPLETE CRIMINAL LIST - ALL TIME</w:t>
      </w:r>
      <w:r>
        <w:tab/>
      </w:r>
      <w:r>
        <w:t>40</w:t>
      </w:r>
    </w:p>
    <w:p>
      <w:pPr>
        <w:pStyle w:val="TOC1"/>
      </w:pPr>
      <w:r>
        <w:t>PART VI: CIVIL ARREST WARRANT AND DETENTION ORDER</w:t>
      </w:r>
      <w:r>
        <w:tab/>
      </w:r>
      <w:r>
        <w:t>45</w:t>
      </w:r>
    </w:p>
    <w:p>
      <w:r>
        <w:fldChar w:fldCharType="end"/>
      </w:r>
    </w:p>
    <w:p>
      <w:pPr>
        <w:sectPr>
          <w:type w:val="nextPage"/>
          <w:pgSz w:w="11906" w:h="16838"/>
          <w:pgMar w:top="1440" w:right="1440" w:bottom="1440" w:left="1440" w:header="720" w:footer="720"/>
        </w:sectPr>
      </w:pPr>
    </w:p>
    <w:p>
      <w:pPr>
        <w:pStyle w:val="Heading1"/>
      </w:pPr>
      <w:r>
        <w:t>PART I: INTERNATIONAL DECLARATION OF ACTION AND SOVEREIGNTY</w:t>
      </w:r>
    </w:p>
    <w:p>
      <w:pPr>
        <w:spacing w:after="400"/>
        <w:jc w:val="center"/>
      </w:pPr>
      <w:r>
        <w:rPr>
          <w:b/>
          <w:color w:val="1a365d"/>
          <w:sz w:val="28"/>
        </w:rPr>
        <w:t>Public Manifesto of the Representatives of the People and Natural Law</w:t>
      </w:r>
    </w:p>
    <w:p>
      <w:pPr>
        <w:spacing w:after="200"/>
        <w:jc w:val="center"/>
      </w:pPr>
      <w:r>
        <w:rPr>
          <w:b/>
          <w:i/>
        </w:rPr>
        <w:t>OFFICIAL LEGAL INSTRUMENT</w:t>
      </w:r>
    </w:p>
    <w:p>
      <w:pPr>
        <w:spacing w:after="400"/>
        <w:jc w:val="center"/>
      </w:pPr>
      <w:r>
        <w:t>With Cryptographic Attestation</w:t>
      </w:r>
    </w:p>
    <w:p>
      <w:pPr>
        <w:pStyle w:val="Heading2"/>
      </w:pPr>
      <w:r>
        <w:t>PREAMBLE</w:t>
      </w:r>
    </w:p>
    <w:p>
      <w:r>
        <w:t>I, Davyd K. (Zero Azimuth), acting as representative and voice of the will of the People of Earth, proceeding from the fundamental, inalienable, and eternal norms and values recognized by humanity since time immemorial. My duty is to implement natural rights, dignity, freedom, and justice, affirming them through my action, word, example, interaction, and observation. My statement is a challenge to inaction, injustice, arbitrariness, and violations, not a request for protection or justification.</w:t>
      </w:r>
    </w:p>
    <w:p>
      <w:pPr>
        <w:pStyle w:val="Heading2"/>
      </w:pPr>
      <w:r>
        <w:t>PHILOSOPHICAL AND FUNDAMENTAL FOUNDATIONS</w:t>
      </w:r>
    </w:p>
    <w:p>
      <w:r>
        <w:t>This Declaration is founded upon the following immutable principles:</w:t>
      </w:r>
    </w:p>
    <w:p>
      <w:pPr>
        <w:spacing w:after="120"/>
        <w:ind w:left="720" w:hanging="360"/>
      </w:pPr>
      <w:r>
        <w:t>•  Natural right, originally belonging to every human being, regardless of origin, language, faith, or affiliation;</w:t>
      </w:r>
    </w:p>
    <w:p>
      <w:pPr>
        <w:spacing w:after="120"/>
        <w:ind w:left="720" w:hanging="360"/>
      </w:pPr>
      <w:r>
        <w:t>•  Universal norms of goodness, conscience, solidarity, and mutual respect;</w:t>
      </w:r>
    </w:p>
    <w:p>
      <w:pPr>
        <w:spacing w:after="120"/>
        <w:ind w:left="720" w:hanging="360"/>
      </w:pPr>
      <w:r>
        <w:t>•  Principles of jus cogens, as non-derogable universal standards of the human community;</w:t>
      </w:r>
    </w:p>
    <w:p>
      <w:pPr>
        <w:spacing w:after="120"/>
        <w:ind w:left="720" w:hanging="360"/>
      </w:pPr>
      <w:r>
        <w:t>•  Natural justice, reason, and the unifying will of the people as the true source of power on Earth;</w:t>
      </w:r>
    </w:p>
    <w:p>
      <w:pPr>
        <w:spacing w:after="120"/>
        <w:ind w:left="720" w:hanging="360"/>
      </w:pPr>
      <w:r>
        <w:t>•  Historical evolution of legal thought, enshrined in the Universal Declaration of Human Rights, Magna Carta, and other great documents.</w:t>
      </w:r>
    </w:p>
    <w:p>
      <w:pPr>
        <w:pStyle w:val="Heading2"/>
      </w:pPr>
      <w:r>
        <w:t>MANDATE AND BASIS FOR ACTION</w:t>
      </w:r>
    </w:p>
    <w:p>
      <w:r>
        <w:t>By virtue of the aforementioned foundations, I, Davyd K. (Zero Azimuth), declare the right and responsibility to act not on behalf of governmental structures or private interests, but as a modern representative of humanity, the voice of the people and truth, acting ultra vires with respect to bureaucratic, corrupt, and usurping structures.</w:t>
      </w:r>
    </w:p>
    <w:p>
      <w:pPr>
        <w:pStyle w:val="Heading2"/>
      </w:pPr>
      <w:r>
        <w:t>MISSION AND OBJECTIVES</w:t>
      </w:r>
    </w:p>
    <w:p>
      <w:r>
        <w:t>The objectives of this Declaration are:</w:t>
      </w:r>
    </w:p>
    <w:p>
      <w:pPr>
        <w:spacing w:after="120"/>
        <w:ind w:left="720" w:hanging="360"/>
      </w:pPr>
      <w:r>
        <w:t>•  To affirm, implement, and disseminate natural rights and freedoms of every human being through active action and testimony;</w:t>
      </w:r>
    </w:p>
    <w:p>
      <w:pPr>
        <w:spacing w:after="120"/>
        <w:ind w:left="720" w:hanging="360"/>
      </w:pPr>
      <w:r>
        <w:t>•  To conduct independent audit, monitoring, analysis, and public disclosure of any violations of the aforementioned rights;</w:t>
      </w:r>
    </w:p>
    <w:p>
      <w:pPr>
        <w:spacing w:after="120"/>
        <w:ind w:left="720" w:hanging="360"/>
      </w:pPr>
      <w:r>
        <w:t>•  To unite concerned, honest, and free people striving for humane order and justice;</w:t>
      </w:r>
    </w:p>
    <w:p>
      <w:pPr>
        <w:spacing w:after="120"/>
        <w:ind w:left="720" w:hanging="360"/>
      </w:pPr>
      <w:r>
        <w:t>•  To form new patterns of open popular interaction through international reports, appeals, education, and initiative.</w:t>
      </w:r>
    </w:p>
    <w:p>
      <w:pPr>
        <w:pStyle w:val="Heading2"/>
      </w:pPr>
      <w:r>
        <w:t>PRINCIPLES AND NORMS OF ACTIVITY</w:t>
      </w:r>
    </w:p>
    <w:p>
      <w:r>
        <w:t>All actions undertaken under this Declaration shall adhere to the following legal principles:</w:t>
      </w:r>
    </w:p>
    <w:tbl>
      <w:tblPr>
        <w:tblW w:w="5000" w:type="pct"/>
        <w:tblBorders>
          <w:top w:val="single" w:color="1a365d" w:sz="8"/>
          <w:left w:val="nil"/>
          <w:bottom w:val="single" w:color="1a365d" w:sz="8"/>
          <w:right w:val="nil"/>
          <w:insideH w:val="single" w:color="d1d5db" w:sz="4"/>
          <w:insideV w:val="nil"/>
        </w:tblBorders>
        <w:tblCellMar>
          <w:top w:w="100" w:type="dxa"/>
          <w:left w:w="150" w:type="dxa"/>
          <w:bottom w:w="100" w:type="dxa"/>
          <w:right w:w="150" w:type="dxa"/>
        </w:tblCellMar>
      </w:tblPr>
      <w:tblGrid>
        <w:gridCol w:w="3000"/>
        <w:gridCol w:w="7000"/>
      </w:tblGrid>
      <w:tr>
        <w:trPr>
          <w:tblHeader/>
          <w:trHeight w:val="400" w:hRule="atLeast"/>
        </w:trPr>
        <w:tc>
          <w:tcPr>
            <w:tcW w:w="0" w:type="auto"/>
            <w:tcBorders>
              <w:bottom w:val="single" w:color="1a365d" w:sz="6"/>
            </w:tcBorders>
            <w:shd w:val="clear" w:fill="e2e8f0"/>
            <w:vAlign w:val="center"/>
          </w:tcPr>
          <w:p>
            <w:pPr>
              <w:spacing w:before="0" w:after="0"/>
              <w:jc w:val="center"/>
            </w:pPr>
            <w:r>
              <w:rPr>
                <w:b/>
                <w:color w:val="1a202c"/>
                <w:sz w:val="22"/>
              </w:rPr>
              <w:t>Legal Principle</w:t>
            </w:r>
          </w:p>
        </w:tc>
        <w:tc>
          <w:tcPr>
            <w:tcW w:w="0" w:type="auto"/>
            <w:tcBorders>
              <w:bottom w:val="single" w:color="1a365d" w:sz="6"/>
            </w:tcBorders>
            <w:shd w:val="clear" w:fill="e2e8f0"/>
            <w:vAlign w:val="center"/>
          </w:tcPr>
          <w:p>
            <w:pPr>
              <w:spacing w:before="0" w:after="0"/>
              <w:jc w:val="center"/>
            </w:pPr>
            <w:r>
              <w:rPr>
                <w:b/>
                <w:color w:val="1a202c"/>
                <w:sz w:val="22"/>
              </w:rPr>
              <w:t>Application</w:t>
            </w:r>
          </w:p>
        </w:tc>
      </w:tr>
      <w:tr>
        <w:trPr>
          <w:trHeight w:val="350" w:hRule="atLeast"/>
        </w:trPr>
        <w:tc>
          <w:tcPr>
            <w:tcW w:w="0" w:type="auto"/>
            <w:vAlign w:val="center"/>
          </w:tcPr>
          <w:p>
            <w:pPr>
              <w:spacing w:before="0" w:after="0"/>
              <w:jc w:val="left"/>
            </w:pPr>
            <w:r>
              <w:rPr>
                <w:color w:val="1a202c"/>
                <w:sz w:val="22"/>
              </w:rPr>
              <w:t>ex aequo et bono</w:t>
            </w:r>
          </w:p>
        </w:tc>
        <w:tc>
          <w:tcPr>
            <w:tcW w:w="0" w:type="auto"/>
            <w:vAlign w:val="center"/>
          </w:tcPr>
          <w:p>
            <w:pPr>
              <w:spacing w:before="0" w:after="0"/>
              <w:jc w:val="left"/>
            </w:pPr>
            <w:r>
              <w:rPr>
                <w:color w:val="1a202c"/>
                <w:sz w:val="22"/>
              </w:rPr>
              <w:t>According to the right and good; equitable principles</w:t>
            </w:r>
          </w:p>
        </w:tc>
      </w:tr>
      <w:tr>
        <w:trPr>
          <w:trHeight w:val="350" w:hRule="atLeast"/>
        </w:trPr>
        <w:tc>
          <w:tcPr>
            <w:tcW w:w="0" w:type="auto"/>
            <w:vAlign w:val="center"/>
          </w:tcPr>
          <w:p>
            <w:pPr>
              <w:spacing w:before="0" w:after="0"/>
              <w:jc w:val="left"/>
            </w:pPr>
            <w:r>
              <w:rPr>
                <w:color w:val="1a202c"/>
                <w:sz w:val="22"/>
              </w:rPr>
              <w:t>bona fides</w:t>
            </w:r>
          </w:p>
        </w:tc>
        <w:tc>
          <w:tcPr>
            <w:tcW w:w="0" w:type="auto"/>
            <w:vAlign w:val="center"/>
          </w:tcPr>
          <w:p>
            <w:pPr>
              <w:spacing w:before="0" w:after="0"/>
              <w:jc w:val="left"/>
            </w:pPr>
            <w:r>
              <w:rPr>
                <w:color w:val="1a202c"/>
                <w:sz w:val="22"/>
              </w:rPr>
              <w:t>Good faith in all dealings and representations</w:t>
            </w:r>
          </w:p>
        </w:tc>
      </w:tr>
      <w:tr>
        <w:trPr>
          <w:trHeight w:val="350" w:hRule="atLeast"/>
        </w:trPr>
        <w:tc>
          <w:tcPr>
            <w:tcW w:w="0" w:type="auto"/>
            <w:vAlign w:val="center"/>
          </w:tcPr>
          <w:p>
            <w:pPr>
              <w:spacing w:before="0" w:after="0"/>
              <w:jc w:val="left"/>
            </w:pPr>
            <w:r>
              <w:rPr>
                <w:color w:val="1a202c"/>
                <w:sz w:val="22"/>
              </w:rPr>
              <w:t>jus cogens</w:t>
            </w:r>
          </w:p>
        </w:tc>
        <w:tc>
          <w:tcPr>
            <w:tcW w:w="0" w:type="auto"/>
            <w:vAlign w:val="center"/>
          </w:tcPr>
          <w:p>
            <w:pPr>
              <w:spacing w:before="0" w:after="0"/>
              <w:jc w:val="left"/>
            </w:pPr>
            <w:r>
              <w:rPr>
                <w:color w:val="1a202c"/>
                <w:sz w:val="22"/>
              </w:rPr>
              <w:t>Peremptory norms of general international law</w:t>
            </w:r>
          </w:p>
        </w:tc>
      </w:tr>
      <w:tr>
        <w:trPr>
          <w:trHeight w:val="350" w:hRule="atLeast"/>
        </w:trPr>
        <w:tc>
          <w:tcPr>
            <w:tcW w:w="0" w:type="auto"/>
            <w:vAlign w:val="center"/>
          </w:tcPr>
          <w:p>
            <w:pPr>
              <w:spacing w:before="0" w:after="0"/>
              <w:jc w:val="left"/>
            </w:pPr>
            <w:r>
              <w:rPr>
                <w:color w:val="1a202c"/>
                <w:sz w:val="22"/>
              </w:rPr>
              <w:t>ultra vires</w:t>
            </w:r>
          </w:p>
        </w:tc>
        <w:tc>
          <w:tcPr>
            <w:tcW w:w="0" w:type="auto"/>
            <w:vAlign w:val="center"/>
          </w:tcPr>
          <w:p>
            <w:pPr>
              <w:spacing w:before="0" w:after="0"/>
              <w:jc w:val="left"/>
            </w:pPr>
            <w:r>
              <w:rPr>
                <w:color w:val="1a202c"/>
                <w:sz w:val="22"/>
              </w:rPr>
              <w:t>Beyond the legal power of usurping authorities</w:t>
            </w:r>
          </w:p>
        </w:tc>
      </w:tr>
      <w:tr>
        <w:trPr>
          <w:trHeight w:val="350" w:hRule="atLeast"/>
        </w:trPr>
        <w:tc>
          <w:tcPr>
            <w:tcW w:w="0" w:type="auto"/>
            <w:vAlign w:val="center"/>
          </w:tcPr>
          <w:p>
            <w:pPr>
              <w:spacing w:before="0" w:after="0"/>
              <w:jc w:val="left"/>
            </w:pPr>
            <w:r>
              <w:rPr>
                <w:color w:val="1a202c"/>
                <w:sz w:val="22"/>
              </w:rPr>
              <w:t>mens rea</w:t>
            </w:r>
          </w:p>
        </w:tc>
        <w:tc>
          <w:tcPr>
            <w:tcW w:w="0" w:type="auto"/>
            <w:vAlign w:val="center"/>
          </w:tcPr>
          <w:p>
            <w:pPr>
              <w:spacing w:before="0" w:after="0"/>
              <w:jc w:val="left"/>
            </w:pPr>
            <w:r>
              <w:rPr>
                <w:color w:val="1a202c"/>
                <w:sz w:val="22"/>
              </w:rPr>
              <w:t>Guilty mind; intent as basis for responsibility</w:t>
            </w:r>
          </w:p>
        </w:tc>
      </w:tr>
      <w:tr>
        <w:trPr>
          <w:trHeight w:val="350" w:hRule="atLeast"/>
        </w:trPr>
        <w:tc>
          <w:tcPr>
            <w:tcW w:w="0" w:type="auto"/>
            <w:vAlign w:val="center"/>
          </w:tcPr>
          <w:p>
            <w:pPr>
              <w:spacing w:before="0" w:after="0"/>
              <w:jc w:val="left"/>
            </w:pPr>
            <w:r>
              <w:rPr>
                <w:color w:val="1a202c"/>
                <w:sz w:val="22"/>
              </w:rPr>
              <w:t>void ab initio</w:t>
            </w:r>
          </w:p>
        </w:tc>
        <w:tc>
          <w:tcPr>
            <w:tcW w:w="0" w:type="auto"/>
            <w:vAlign w:val="center"/>
          </w:tcPr>
          <w:p>
            <w:pPr>
              <w:spacing w:before="0" w:after="0"/>
              <w:jc w:val="left"/>
            </w:pPr>
            <w:r>
              <w:rPr>
                <w:color w:val="1a202c"/>
                <w:sz w:val="22"/>
              </w:rPr>
              <w:t>Invalid from the beginning; null and void</w:t>
            </w:r>
          </w:p>
        </w:tc>
      </w:tr>
      <w:tr>
        <w:trPr>
          <w:trHeight w:val="350" w:hRule="atLeast"/>
        </w:trPr>
        <w:tc>
          <w:tcPr>
            <w:tcW w:w="0" w:type="auto"/>
            <w:vAlign w:val="center"/>
          </w:tcPr>
          <w:p>
            <w:pPr>
              <w:spacing w:before="0" w:after="0"/>
              <w:jc w:val="left"/>
            </w:pPr>
            <w:r>
              <w:rPr>
                <w:color w:val="1a202c"/>
                <w:sz w:val="22"/>
              </w:rPr>
              <w:t>lex superior derogat legi inferiori</w:t>
            </w:r>
          </w:p>
        </w:tc>
        <w:tc>
          <w:tcPr>
            <w:tcW w:w="0" w:type="auto"/>
            <w:vAlign w:val="center"/>
          </w:tcPr>
          <w:p>
            <w:pPr>
              <w:spacing w:before="0" w:after="0"/>
              <w:jc w:val="left"/>
            </w:pPr>
            <w:r>
              <w:rPr>
                <w:color w:val="1a202c"/>
                <w:sz w:val="22"/>
              </w:rPr>
              <w:t>Higher law prevails over lower law</w:t>
            </w:r>
          </w:p>
        </w:tc>
      </w:tr>
      <w:tr>
        <w:trPr>
          <w:trHeight w:val="350" w:hRule="atLeast"/>
        </w:trPr>
        <w:tc>
          <w:tcPr>
            <w:tcW w:w="0" w:type="auto"/>
            <w:vAlign w:val="center"/>
          </w:tcPr>
          <w:p>
            <w:pPr>
              <w:spacing w:before="0" w:after="0"/>
              <w:jc w:val="left"/>
            </w:pPr>
            <w:r>
              <w:rPr>
                <w:color w:val="1a202c"/>
                <w:sz w:val="22"/>
              </w:rPr>
              <w:t>pacta sunt servanda</w:t>
            </w:r>
          </w:p>
        </w:tc>
        <w:tc>
          <w:tcPr>
            <w:tcW w:w="0" w:type="auto"/>
            <w:vAlign w:val="center"/>
          </w:tcPr>
          <w:p>
            <w:pPr>
              <w:spacing w:before="0" w:after="0"/>
              <w:jc w:val="left"/>
            </w:pPr>
            <w:r>
              <w:rPr>
                <w:color w:val="1a202c"/>
                <w:sz w:val="22"/>
              </w:rPr>
              <w:t>Agreements must be kept; binding nature of commitments</w:t>
            </w:r>
          </w:p>
        </w:tc>
      </w:tr>
      <w:tr>
        <w:trPr>
          <w:trHeight w:val="350" w:hRule="atLeast"/>
        </w:trPr>
        <w:tc>
          <w:tcPr>
            <w:tcW w:w="0" w:type="auto"/>
            <w:vAlign w:val="center"/>
          </w:tcPr>
          <w:p>
            <w:pPr>
              <w:spacing w:before="0" w:after="0"/>
              <w:jc w:val="left"/>
            </w:pPr>
            <w:r>
              <w:rPr>
                <w:color w:val="1a202c"/>
                <w:sz w:val="22"/>
              </w:rPr>
              <w:t>audi alteram partem</w:t>
            </w:r>
          </w:p>
        </w:tc>
        <w:tc>
          <w:tcPr>
            <w:tcW w:w="0" w:type="auto"/>
            <w:vAlign w:val="center"/>
          </w:tcPr>
          <w:p>
            <w:pPr>
              <w:spacing w:before="0" w:after="0"/>
              <w:jc w:val="left"/>
            </w:pPr>
            <w:r>
              <w:rPr>
                <w:color w:val="1a202c"/>
                <w:sz w:val="22"/>
              </w:rPr>
              <w:t>Hear the other side; right to fair hearing</w:t>
            </w:r>
          </w:p>
        </w:tc>
      </w:tr>
      <w:tr>
        <w:trPr>
          <w:trHeight w:val="350" w:hRule="atLeast"/>
        </w:trPr>
        <w:tc>
          <w:tcPr>
            <w:tcW w:w="0" w:type="auto"/>
            <w:vAlign w:val="center"/>
          </w:tcPr>
          <w:p>
            <w:pPr>
              <w:spacing w:before="0" w:after="0"/>
              <w:jc w:val="left"/>
            </w:pPr>
            <w:r>
              <w:rPr>
                <w:color w:val="1a202c"/>
                <w:sz w:val="22"/>
              </w:rPr>
              <w:t>non bis in idem</w:t>
            </w:r>
          </w:p>
        </w:tc>
        <w:tc>
          <w:tcPr>
            <w:tcW w:w="0" w:type="auto"/>
            <w:vAlign w:val="center"/>
          </w:tcPr>
          <w:p>
            <w:pPr>
              <w:spacing w:before="0" w:after="0"/>
              <w:jc w:val="left"/>
            </w:pPr>
            <w:r>
              <w:rPr>
                <w:color w:val="1a202c"/>
                <w:sz w:val="22"/>
              </w:rPr>
              <w:t>Not twice for the same; prohibition of double jeopardy</w:t>
            </w:r>
          </w:p>
        </w:tc>
      </w:tr>
      <w:tr>
        <w:trPr>
          <w:trHeight w:val="350" w:hRule="atLeast"/>
        </w:trPr>
        <w:tc>
          <w:tcPr>
            <w:tcW w:w="0" w:type="auto"/>
            <w:vAlign w:val="center"/>
          </w:tcPr>
          <w:p>
            <w:pPr>
              <w:spacing w:before="0" w:after="0"/>
              <w:jc w:val="left"/>
            </w:pPr>
            <w:r>
              <w:rPr>
                <w:color w:val="1a202c"/>
                <w:sz w:val="22"/>
              </w:rPr>
              <w:t>pro homine</w:t>
            </w:r>
          </w:p>
        </w:tc>
        <w:tc>
          <w:tcPr>
            <w:tcW w:w="0" w:type="auto"/>
            <w:vAlign w:val="center"/>
          </w:tcPr>
          <w:p>
            <w:pPr>
              <w:spacing w:before="0" w:after="0"/>
              <w:jc w:val="left"/>
            </w:pPr>
            <w:r>
              <w:rPr>
                <w:color w:val="1a202c"/>
                <w:sz w:val="22"/>
              </w:rPr>
              <w:t>For the benefit of the human being</w:t>
            </w:r>
          </w:p>
        </w:tc>
      </w:tr>
      <w:tr>
        <w:trPr>
          <w:trHeight w:val="350" w:hRule="atLeast"/>
        </w:trPr>
        <w:tc>
          <w:tcPr>
            <w:tcW w:w="0" w:type="auto"/>
            <w:vAlign w:val="center"/>
          </w:tcPr>
          <w:p>
            <w:pPr>
              <w:spacing w:before="0" w:after="0"/>
              <w:jc w:val="left"/>
            </w:pPr>
            <w:r>
              <w:rPr>
                <w:color w:val="1a202c"/>
                <w:sz w:val="22"/>
              </w:rPr>
              <w:t>stare decisis</w:t>
            </w:r>
          </w:p>
        </w:tc>
        <w:tc>
          <w:tcPr>
            <w:tcW w:w="0" w:type="auto"/>
            <w:vAlign w:val="center"/>
          </w:tcPr>
          <w:p>
            <w:pPr>
              <w:spacing w:before="0" w:after="0"/>
              <w:jc w:val="left"/>
            </w:pPr>
            <w:r>
              <w:rPr>
                <w:color w:val="1a202c"/>
                <w:sz w:val="22"/>
              </w:rPr>
              <w:t>To stand by things decided; precedent principle</w:t>
            </w:r>
          </w:p>
        </w:tc>
      </w:tr>
      <w:tr>
        <w:trPr>
          <w:trHeight w:val="350" w:hRule="atLeast"/>
        </w:trPr>
        <w:tc>
          <w:tcPr>
            <w:tcW w:w="0" w:type="auto"/>
            <w:vAlign w:val="center"/>
          </w:tcPr>
          <w:p>
            <w:pPr>
              <w:spacing w:before="0" w:after="0"/>
              <w:jc w:val="left"/>
            </w:pPr>
            <w:r>
              <w:rPr>
                <w:color w:val="1a202c"/>
                <w:sz w:val="22"/>
              </w:rPr>
              <w:t>proportionality</w:t>
            </w:r>
          </w:p>
        </w:tc>
        <w:tc>
          <w:tcPr>
            <w:tcW w:w="0" w:type="auto"/>
            <w:vAlign w:val="center"/>
          </w:tcPr>
          <w:p>
            <w:pPr>
              <w:spacing w:before="0" w:after="0"/>
              <w:jc w:val="left"/>
            </w:pPr>
            <w:r>
              <w:rPr>
                <w:color w:val="1a202c"/>
                <w:sz w:val="22"/>
              </w:rPr>
              <w:t>Balance between means and ends</w:t>
            </w:r>
          </w:p>
        </w:tc>
      </w:tr>
      <w:tr>
        <w:trPr>
          <w:trHeight w:val="350" w:hRule="atLeast"/>
        </w:trPr>
        <w:tc>
          <w:tcPr>
            <w:tcW w:w="0" w:type="auto"/>
            <w:vAlign w:val="center"/>
          </w:tcPr>
          <w:p>
            <w:pPr>
              <w:spacing w:before="0" w:after="0"/>
              <w:jc w:val="left"/>
            </w:pPr>
            <w:r>
              <w:rPr>
                <w:color w:val="1a202c"/>
                <w:sz w:val="22"/>
              </w:rPr>
              <w:t>universal jurisdiction</w:t>
            </w:r>
          </w:p>
        </w:tc>
        <w:tc>
          <w:tcPr>
            <w:tcW w:w="0" w:type="auto"/>
            <w:vAlign w:val="center"/>
          </w:tcPr>
          <w:p>
            <w:pPr>
              <w:spacing w:before="0" w:after="0"/>
              <w:jc w:val="left"/>
            </w:pPr>
            <w:r>
              <w:rPr>
                <w:color w:val="1a202c"/>
                <w:sz w:val="22"/>
              </w:rPr>
              <w:t>Jurisdiction over certain crimes regardless of territory</w:t>
            </w:r>
          </w:p>
        </w:tc>
      </w:tr>
    </w:tbl>
    <w:p>
      <w:pPr>
        <w:pStyle w:val="Heading2"/>
      </w:pPr>
      <w:r>
        <w:t>LEGAL AND MORAL FOUNDATION</w:t>
      </w:r>
    </w:p>
    <w:p>
      <w:r>
        <w:t>The foundation for my actions is:</w:t>
      </w:r>
    </w:p>
    <w:p>
      <w:pPr>
        <w:spacing w:after="120"/>
        <w:ind w:left="720" w:hanging="360"/>
      </w:pPr>
      <w:r>
        <w:t>•  Natural and international law;</w:t>
      </w:r>
    </w:p>
    <w:p>
      <w:pPr>
        <w:spacing w:after="120"/>
        <w:ind w:left="720" w:hanging="360"/>
      </w:pPr>
      <w:r>
        <w:t>•  Universal Declaration of Human Rights, UN Charter, universal covenants and agreements;</w:t>
      </w:r>
    </w:p>
    <w:p>
      <w:pPr>
        <w:spacing w:after="120"/>
        <w:ind w:left="720" w:hanging="360"/>
      </w:pPr>
      <w:r>
        <w:t>•  Doctrines of reason, dignity, justice, independence, and inner freedom.</w:t>
      </w:r>
    </w:p>
    <w:p>
      <w:pPr>
        <w:pStyle w:val="Heading2"/>
      </w:pPr>
      <w:r>
        <w:t>PUBLIC ACCOUNTABILITY AND CALL TO ACTION</w:t>
      </w:r>
    </w:p>
    <w:p>
      <w:r>
        <w:t>Every action, word, and document emanating from me is signed not only by name but by the conscience of a free human being, recognized or unrecognized by any authority, but acting in accordance with truth, humanity, and faith in the dignity of every individual.</w:t>
      </w:r>
    </w:p>
    <w:p>
      <w:r>
        <w:t>I call upon every person who reads this to act for the benefit of humanity, not to fear change, to stand up for rights, justice, and freedom for all, without fear and reproach.</w:t>
      </w:r>
    </w:p>
    <w:p>
      <w:pPr>
        <w:pStyle w:val="Heading2"/>
      </w:pPr>
      <w:r>
        <w:t>CRYPTOGRAPHIC ATTESTATION</w:t>
      </w:r>
    </w:p>
    <w:p>
      <w:r>
        <w:t>The following cryptographic identifiers serve to authenticate this document and establish its integrity:</w:t>
      </w:r>
    </w:p>
    <w:p>
      <w:r>
        <w:rPr>
          <w:b/>
        </w:rPr>
        <w:t>Document ID: </w:t>
      </w:r>
      <w:r>
        <w:t>8021DD7DF58045EF889F0B1E56E0859D</w:t>
      </w:r>
    </w:p>
    <w:p>
      <w:r>
        <w:rPr>
          <w:b/>
        </w:rPr>
        <w:t>Timestamp (UTC): </w:t>
      </w:r>
      <w:r>
        <w:t>2026-02-28T11:56:04Z</w:t>
      </w:r>
    </w:p>
    <w:p>
      <w:r>
        <w:rPr>
          <w:b/>
        </w:rPr>
        <w:t>SHA-256 Document Hash: </w:t>
      </w:r>
      <w:r>
        <w:t>2F023B6287A1B5FF3199BC0CE886F67365906996273B79DA7FC09E140176E40C</w:t>
      </w:r>
    </w:p>
    <w:p>
      <w:r>
        <w:rPr>
          <w:b/>
        </w:rPr>
        <w:t>Public Key Fingerprint: </w:t>
      </w:r>
      <w:r>
        <w:t>8BBD7E950D8825CA15C15DA94B99E951</w:t>
      </w:r>
    </w:p>
    <w:p>
      <w:r>
        <w:t>This document has been cryptographically signed and its integrity is protected by hash verification.</w:t>
      </w:r>
    </w:p>
    <w:p>
      <w:pPr>
        <w:pStyle w:val="Heading2"/>
      </w:pPr>
      <w:r>
        <w:t>EXECUTION AND DIGITAL SIGNATURE</w:t>
      </w:r>
    </w:p>
    <w:p>
      <w:r>
        <w:rPr>
          <w:b/>
        </w:rPr>
        <w:t>Date: </w:t>
      </w:r>
      <w:r>
        <w:t>February 28, 2026</w:t>
      </w:r>
    </w:p>
    <w:p>
      <w:r>
        <w:rPr>
          <w:b/>
        </w:rPr>
        <w:t>Place of Execution: </w:t>
      </w:r>
      <w:r>
        <w:t>International Jurisdiction, Universal Jurisdiction</w:t>
      </w:r>
    </w:p>
    <w:p>
      <w:pPr>
        <w:spacing w:before="400"/>
      </w:pPr>
      <w:r>
        <w:rPr>
          <w:b/>
        </w:rPr>
        <w:t>Davyd K. (Zero Azimuth)</w:t>
      </w:r>
    </w:p>
    <w:p>
      <w:pPr>
        <w:pBdr>
          <w:top w:val="single" w:color="1a202c" w:sz="4"/>
        </w:pBdr>
        <w:spacing w:before="200" w:after="200"/>
      </w:pPr>
      <w:r>
        <w:t>Signature of the Declarant</w:t>
      </w:r>
    </w:p>
    <w:p>
      <w:r>
        <w:rPr>
          <w:b/>
        </w:rPr>
        <w:t>DIGITAL SIGNATURE / CRYPTOGRAPHIC SEAL</w:t>
      </w:r>
    </w:p>
    <w:p>
      <w:r>
        <w:rPr>
          <w:sz w:val="20"/>
        </w:rPr>
      </w:r>
      <w:r>
        <w:t>SHA-384 Signature Hash: 92ED4CC618DBBDF7C5F36B9E051BC0EF42D70598EFD1FDB4C279511DA3D62A92D825C5948A83512A0B550AD83CD74AED</w:t>
      </w:r>
    </w:p>
    <w:p>
      <w:r>
        <w:t>This document may be verified using the Document Hash and Public Key Fingerprint provided above.</w:t>
      </w:r>
    </w:p>
    <w:p>
      <w:pPr>
        <w:pStyle w:val="Heading1"/>
      </w:pPr>
      <w:r>
        <w:t>PART II: FORENSIC FISCAL AUDIT - ORDER 322</w:t>
      </w:r>
    </w:p>
    <w:p>
      <w:pPr>
        <w:jc w:val="center"/>
      </w:pPr>
      <w:r>
        <w:rPr>
          <w:b/>
          <w:sz w:val="28"/>
        </w:rPr>
        <w:t>Skull and Bones Society / Russell Trust Association</w:t>
      </w:r>
    </w:p>
    <w:p>
      <w:pPr>
        <w:spacing w:after="400"/>
        <w:jc w:val="center"/>
      </w:pPr>
      <w:r>
        <w:t>Comprehensive Investigation with All Evidence - Names, Financial Records, and Crimes Against Humanity</w:t>
      </w:r>
    </w:p>
    <w:p>
      <w:pPr>
        <w:pStyle w:val="Heading2"/>
      </w:pPr>
      <w:r>
        <w:t>EXECUTIVE SUMMARY</w:t>
      </w:r>
    </w:p>
    <w:p>
      <w:r>
        <w:t>This forensic fiscal audit presents comprehensive evidence of the Order 322 (Skull and Bones) society's involvement in financial crimes, war crimes, and crimes against humanity. The investigation reveals a secret organization that has infiltrated the highest levels of American government, intelligence agencies, and financial institutions.</w:t>
      </w:r>
    </w:p>
    <w:p>
      <w:pPr>
        <w:pStyle w:val="Heading3"/>
      </w:pPr>
      <w:r>
        <w:t>Key Findings</w:t>
      </w:r>
    </w:p>
    <w:p>
      <w:pPr>
        <w:spacing w:after="120"/>
        <w:ind w:left="720" w:hanging="360"/>
      </w:pPr>
      <w:r>
        <w:t>•  The Russell Trust Association, operating as Skull and Bones, holds assets exceeding $17 million as of 2024, including Deer Island in the St. Lawrence River.</w:t>
      </w:r>
    </w:p>
    <w:p>
      <w:pPr>
        <w:spacing w:after="120"/>
        <w:ind w:left="720" w:hanging="360"/>
      </w:pPr>
      <w:r>
        <w:t>•  Prescott Bush, father of President George H.W. Bush and grandfather of President George W. Bush, was a director of Union Banking Corporation which financed Nazi Germany. Assets were seized under the Trading with the Enemy Act in 1942.</w:t>
      </w:r>
    </w:p>
    <w:p>
      <w:pPr>
        <w:spacing w:after="120"/>
        <w:ind w:left="720" w:hanging="360"/>
      </w:pPr>
      <w:r>
        <w:t>•  The Pentagon has failed to account for $21-94.7 trillion in financial transactions between 1998-2015, with multiple Bonesmen holding key positions during this period.</w:t>
      </w:r>
    </w:p>
    <w:p>
      <w:pPr>
        <w:spacing w:after="120"/>
        <w:ind w:left="720" w:hanging="360"/>
      </w:pPr>
      <w:r>
        <w:t>•  At least three U.S. Presidents, two Supreme Court Chief Justices, numerous Senators, and multiple CIA directors have been members of Skull and Bones.</w:t>
      </w:r>
    </w:p>
    <w:p>
      <w:pPr>
        <w:spacing w:after="120"/>
        <w:ind w:left="720" w:hanging="360"/>
      </w:pPr>
      <w:r>
        <w:t>•  The 2004 U.S. presidential election featured two Bonesmen as the only viable candidates - George W. Bush and John Kerry.</w:t>
      </w:r>
    </w:p>
    <w:p>
      <w:pPr>
        <w:spacing w:after="120"/>
        <w:ind w:left="720" w:hanging="360"/>
      </w:pPr>
      <w:r>
        <w:t>•  Secret initiation rituals involve lying in coffins, revealing sexual histories, and swearing lifetime loyalty oaths that create blackmail leverage.</w:t>
      </w:r>
    </w:p>
    <w:p>
      <w:pPr>
        <w:pStyle w:val="Heading3"/>
      </w:pPr>
      <w:r>
        <w:t>Scope of Investigation</w:t>
      </w:r>
    </w:p>
    <w:p>
      <w:r>
        <w:t>This audit examines financial records, declassified government documents, court filings, and historical archives to establish a complete picture of the Order's activities. All evidence is sourced from official records including the U.S. National Archives, IRS filings, court documents, and verified investigative reporting.</w:t>
      </w:r>
    </w:p>
    <w:p>
      <w:pPr>
        <w:pStyle w:val="Heading2"/>
      </w:pPr>
      <w:r>
        <w:t>SECTION 1: ORGANIZATION STRUCTURE</w:t>
      </w:r>
    </w:p>
    <w:p>
      <w:pPr>
        <w:pStyle w:val="Heading3"/>
      </w:pPr>
      <w:r>
        <w:t>Russell Trust Association</w:t>
      </w:r>
    </w:p>
    <w:p>
      <w:r>
        <w:t>The Russell Trust Association (RTA) is the business name of the Skull and Bones Society. It was incorporated in 1856 by William Huntington Russell as president and Daniel Coit Gilman as treasurer. The association holds all society assets including its endowment, real estate, and oversees property maintenance.</w:t>
      </w:r>
    </w:p>
    <w:p>
      <w:r>
        <w:t>According to IRS filings, RTA Incorporated reported assets of $3,906,458 in 2016. As of 2024, the organization holds an endowment of $17 million. The society's headquarters, known as "The Tomb," is located at 64 High Street in New Haven, Connecticut, assessed at $716,000 by New Haven tax officials.</w:t>
      </w:r>
    </w:p>
    <w:p>
      <w:pPr>
        <w:pStyle w:val="Heading3"/>
      </w:pPr>
      <w:r>
        <w:t>Order 322 Symbolism</w:t>
      </w:r>
    </w:p>
    <w:p>
      <w:r>
        <w:t>The number 322 holds significant meaning for the organization. It is believed to reference 322 BC, the year Greek orator Demosthenes died - marking the transition of ancient Athens from democracy to plutocracy. This symbolizes the group's belief that America should surrender government responsibilities exclusively to the wealthy.</w:t>
      </w:r>
    </w:p>
    <w:p>
      <w:r>
        <w:t>The organization's crest features a skull and crossbones - the same symbol flown on pirate ships. Members are called "Bonesmen" and the group is also known as "The Order," "Order 322," and "The Brotherhood of Death."</w:t>
      </w:r>
    </w:p>
    <w:p>
      <w:pPr>
        <w:pStyle w:val="Heading3"/>
      </w:pPr>
      <w:r>
        <w:t>Membership Selection</w:t>
      </w:r>
    </w:p>
    <w:p>
      <w:r>
        <w:t>Only 15 Yale students are selected each year for membership. The selection process, known as "Tap Night," involves society members roaming campus in black robes and masks, tapping selected juniors on the shoulder. New members are taken away quietly into the night and sworn to secrecy about the organization's workings.</w:t>
      </w:r>
    </w:p>
    <w:p>
      <w:pPr>
        <w:pStyle w:val="Heading2"/>
      </w:pPr>
      <w:r>
        <w:t>SECTION 2: FINANCIAL ASSETS AUDIT</w:t>
      </w:r>
    </w:p>
    <w:p>
      <w:pPr>
        <w:pStyle w:val="Heading3"/>
      </w:pPr>
      <w:r>
        <w:t>Endowment and Properties</w:t>
      </w:r>
    </w:p>
    <w:p>
      <w:r>
        <w:t>The following table summarizes the known financial assets of the Russell Trust Association based on official IRS filings and public records:</w:t>
      </w:r>
    </w:p>
    <w:tbl>
      <w:tblPr>
        <w:tblW w:w="5000" w:type="pct"/>
        <w:tblBorders>
          <w:top w:val="single" w:color="1a365d" w:sz="8"/>
          <w:left w:val="nil"/>
          <w:bottom w:val="single" w:color="1a365d" w:sz="8"/>
          <w:right w:val="nil"/>
          <w:insideH w:val="single" w:color="d1d5db" w:sz="4"/>
          <w:insideV w:val="nil"/>
        </w:tblBorders>
        <w:tblCellMar>
          <w:top w:w="100" w:type="dxa"/>
          <w:left w:w="150" w:type="dxa"/>
          <w:bottom w:w="100" w:type="dxa"/>
          <w:right w:w="150" w:type="dxa"/>
        </w:tblCellMar>
      </w:tblPr>
      <w:tblGrid>
        <w:gridCol w:w="3500"/>
        <w:gridCol w:w="2500"/>
        <w:gridCol w:w="4000"/>
      </w:tblGrid>
      <w:tr>
        <w:trPr>
          <w:tblHeader/>
          <w:trHeight w:val="400" w:hRule="atLeast"/>
        </w:trPr>
        <w:tc>
          <w:tcPr>
            <w:tcW w:w="0" w:type="auto"/>
            <w:tcBorders>
              <w:bottom w:val="single" w:color="1a365d" w:sz="6"/>
            </w:tcBorders>
            <w:shd w:val="clear" w:fill="e2e8f0"/>
            <w:vAlign w:val="center"/>
          </w:tcPr>
          <w:p>
            <w:pPr>
              <w:spacing w:before="0" w:after="0"/>
              <w:jc w:val="center"/>
            </w:pPr>
            <w:r>
              <w:rPr>
                <w:b/>
                <w:color w:val="1a202c"/>
                <w:sz w:val="22"/>
              </w:rPr>
              <w:t>Asset Category</w:t>
            </w:r>
          </w:p>
        </w:tc>
        <w:tc>
          <w:tcPr>
            <w:tcW w:w="0" w:type="auto"/>
            <w:tcBorders>
              <w:bottom w:val="single" w:color="1a365d" w:sz="6"/>
            </w:tcBorders>
            <w:shd w:val="clear" w:fill="e2e8f0"/>
            <w:vAlign w:val="center"/>
          </w:tcPr>
          <w:p>
            <w:pPr>
              <w:spacing w:before="0" w:after="0"/>
              <w:jc w:val="center"/>
            </w:pPr>
            <w:r>
              <w:rPr>
                <w:b/>
                <w:color w:val="1a202c"/>
                <w:sz w:val="22"/>
              </w:rPr>
              <w:t>Value</w:t>
            </w:r>
          </w:p>
        </w:tc>
        <w:tc>
          <w:tcPr>
            <w:tcW w:w="0" w:type="auto"/>
            <w:tcBorders>
              <w:bottom w:val="single" w:color="1a365d" w:sz="6"/>
            </w:tcBorders>
            <w:shd w:val="clear" w:fill="e2e8f0"/>
            <w:vAlign w:val="center"/>
          </w:tcPr>
          <w:p>
            <w:pPr>
              <w:spacing w:before="0" w:after="0"/>
              <w:jc w:val="center"/>
            </w:pPr>
            <w:r>
              <w:rPr>
                <w:b/>
                <w:color w:val="1a202c"/>
                <w:sz w:val="22"/>
              </w:rPr>
              <w:t>Source</w:t>
            </w:r>
          </w:p>
        </w:tc>
      </w:tr>
      <w:tr>
        <w:trPr>
          <w:trHeight w:val="350" w:hRule="atLeast"/>
        </w:trPr>
        <w:tc>
          <w:tcPr>
            <w:tcW w:w="0" w:type="auto"/>
            <w:vAlign w:val="center"/>
          </w:tcPr>
          <w:p>
            <w:pPr>
              <w:spacing w:before="0" w:after="0"/>
              <w:jc w:val="left"/>
            </w:pPr>
            <w:r>
              <w:rPr>
                <w:color w:val="1a202c"/>
                <w:sz w:val="22"/>
              </w:rPr>
              <w:t>Endowment (2024)</w:t>
            </w:r>
          </w:p>
        </w:tc>
        <w:tc>
          <w:tcPr>
            <w:tcW w:w="0" w:type="auto"/>
            <w:vAlign w:val="center"/>
          </w:tcPr>
          <w:p>
            <w:pPr>
              <w:spacing w:before="0" w:after="0"/>
              <w:jc w:val="left"/>
            </w:pPr>
            <w:r>
              <w:rPr>
                <w:color w:val="1a202c"/>
                <w:sz w:val="22"/>
              </w:rPr>
              <w:t>$17,000,000</w:t>
            </w:r>
          </w:p>
        </w:tc>
        <w:tc>
          <w:tcPr>
            <w:tcW w:w="0" w:type="auto"/>
            <w:vAlign w:val="center"/>
          </w:tcPr>
          <w:p>
            <w:pPr>
              <w:spacing w:before="0" w:after="0"/>
              <w:jc w:val="left"/>
            </w:pPr>
            <w:r>
              <w:rPr>
                <w:color w:val="1a202c"/>
                <w:sz w:val="22"/>
              </w:rPr>
              <w:t>IRS Filing</w:t>
            </w:r>
          </w:p>
        </w:tc>
      </w:tr>
      <w:tr>
        <w:trPr>
          <w:trHeight w:val="350" w:hRule="atLeast"/>
        </w:trPr>
        <w:tc>
          <w:tcPr>
            <w:tcW w:w="0" w:type="auto"/>
            <w:vAlign w:val="center"/>
          </w:tcPr>
          <w:p>
            <w:pPr>
              <w:spacing w:before="0" w:after="0"/>
              <w:jc w:val="left"/>
            </w:pPr>
            <w:r>
              <w:rPr>
                <w:color w:val="1a202c"/>
                <w:sz w:val="22"/>
              </w:rPr>
              <w:t>Total Assets (2016)</w:t>
            </w:r>
          </w:p>
        </w:tc>
        <w:tc>
          <w:tcPr>
            <w:tcW w:w="0" w:type="auto"/>
            <w:vAlign w:val="center"/>
          </w:tcPr>
          <w:p>
            <w:pPr>
              <w:spacing w:before="0" w:after="0"/>
              <w:jc w:val="left"/>
            </w:pPr>
            <w:r>
              <w:rPr>
                <w:color w:val="1a202c"/>
                <w:sz w:val="22"/>
              </w:rPr>
              <w:t>$3,906,458</w:t>
            </w:r>
          </w:p>
        </w:tc>
        <w:tc>
          <w:tcPr>
            <w:tcW w:w="0" w:type="auto"/>
            <w:vAlign w:val="center"/>
          </w:tcPr>
          <w:p>
            <w:pPr>
              <w:spacing w:before="0" w:after="0"/>
              <w:jc w:val="left"/>
            </w:pPr>
            <w:r>
              <w:rPr>
                <w:color w:val="1a202c"/>
                <w:sz w:val="22"/>
              </w:rPr>
              <w:t>IRS Form 990</w:t>
            </w:r>
          </w:p>
        </w:tc>
      </w:tr>
      <w:tr>
        <w:trPr>
          <w:trHeight w:val="350" w:hRule="atLeast"/>
        </w:trPr>
        <w:tc>
          <w:tcPr>
            <w:tcW w:w="0" w:type="auto"/>
            <w:vAlign w:val="center"/>
          </w:tcPr>
          <w:p>
            <w:pPr>
              <w:spacing w:before="0" w:after="0"/>
              <w:jc w:val="left"/>
            </w:pPr>
            <w:r>
              <w:rPr>
                <w:color w:val="1a202c"/>
                <w:sz w:val="22"/>
              </w:rPr>
              <w:t>The Tomb Property</w:t>
            </w:r>
          </w:p>
        </w:tc>
        <w:tc>
          <w:tcPr>
            <w:tcW w:w="0" w:type="auto"/>
            <w:vAlign w:val="center"/>
          </w:tcPr>
          <w:p>
            <w:pPr>
              <w:spacing w:before="0" w:after="0"/>
              <w:jc w:val="left"/>
            </w:pPr>
            <w:r>
              <w:rPr>
                <w:color w:val="1a202c"/>
                <w:sz w:val="22"/>
              </w:rPr>
              <w:t>$716,000</w:t>
            </w:r>
          </w:p>
        </w:tc>
        <w:tc>
          <w:tcPr>
            <w:tcW w:w="0" w:type="auto"/>
            <w:vAlign w:val="center"/>
          </w:tcPr>
          <w:p>
            <w:pPr>
              <w:spacing w:before="0" w:after="0"/>
              <w:jc w:val="left"/>
            </w:pPr>
            <w:r>
              <w:rPr>
                <w:color w:val="1a202c"/>
                <w:sz w:val="22"/>
              </w:rPr>
              <w:t>New Haven Tax Assessment</w:t>
            </w:r>
          </w:p>
        </w:tc>
      </w:tr>
      <w:tr>
        <w:trPr>
          <w:trHeight w:val="350" w:hRule="atLeast"/>
        </w:trPr>
        <w:tc>
          <w:tcPr>
            <w:tcW w:w="0" w:type="auto"/>
            <w:vAlign w:val="center"/>
          </w:tcPr>
          <w:p>
            <w:pPr>
              <w:spacing w:before="0" w:after="0"/>
              <w:jc w:val="left"/>
            </w:pPr>
            <w:r>
              <w:rPr>
                <w:color w:val="1a202c"/>
                <w:sz w:val="22"/>
              </w:rPr>
              <w:t>Deer Island</w:t>
            </w:r>
          </w:p>
        </w:tc>
        <w:tc>
          <w:tcPr>
            <w:tcW w:w="0" w:type="auto"/>
            <w:vAlign w:val="center"/>
          </w:tcPr>
          <w:p>
            <w:pPr>
              <w:spacing w:before="0" w:after="0"/>
              <w:jc w:val="left"/>
            </w:pPr>
            <w:r>
              <w:rPr>
                <w:color w:val="1a202c"/>
                <w:sz w:val="22"/>
              </w:rPr>
              <w:t>Undisclosed</w:t>
            </w:r>
          </w:p>
        </w:tc>
        <w:tc>
          <w:tcPr>
            <w:tcW w:w="0" w:type="auto"/>
            <w:vAlign w:val="center"/>
          </w:tcPr>
          <w:p>
            <w:pPr>
              <w:spacing w:before="0" w:after="0"/>
              <w:jc w:val="left"/>
            </w:pPr>
            <w:r>
              <w:rPr>
                <w:color w:val="1a202c"/>
                <w:sz w:val="22"/>
              </w:rPr>
              <w:t>Gift from George Douglas Miller (1908)</w:t>
            </w:r>
          </w:p>
        </w:tc>
      </w:tr>
      <w:tr>
        <w:trPr>
          <w:trHeight w:val="350" w:hRule="atLeast"/>
        </w:trPr>
        <w:tc>
          <w:tcPr>
            <w:tcW w:w="0" w:type="auto"/>
            <w:vAlign w:val="center"/>
          </w:tcPr>
          <w:p>
            <w:pPr>
              <w:spacing w:before="0" w:after="0"/>
              <w:jc w:val="left"/>
            </w:pPr>
            <w:r>
              <w:rPr>
                <w:color w:val="1a202c"/>
                <w:sz w:val="22"/>
              </w:rPr>
              <w:t>Russell Trust (1998)</w:t>
            </w:r>
          </w:p>
        </w:tc>
        <w:tc>
          <w:tcPr>
            <w:tcW w:w="0" w:type="auto"/>
            <w:vAlign w:val="center"/>
          </w:tcPr>
          <w:p>
            <w:pPr>
              <w:spacing w:before="0" w:after="0"/>
              <w:jc w:val="left"/>
            </w:pPr>
            <w:r>
              <w:rPr>
                <w:color w:val="1a202c"/>
                <w:sz w:val="22"/>
              </w:rPr>
              <w:t>$3,674,000</w:t>
            </w:r>
          </w:p>
        </w:tc>
        <w:tc>
          <w:tcPr>
            <w:tcW w:w="0" w:type="auto"/>
            <w:vAlign w:val="center"/>
          </w:tcPr>
          <w:p>
            <w:pPr>
              <w:spacing w:before="0" w:after="0"/>
              <w:jc w:val="left"/>
            </w:pPr>
            <w:r>
              <w:rPr>
                <w:color w:val="1a202c"/>
                <w:sz w:val="22"/>
              </w:rPr>
              <w:t>Yale Daily News Report</w:t>
            </w:r>
          </w:p>
        </w:tc>
      </w:tr>
    </w:tbl>
    <w:p>
      <w:pPr>
        <w:pStyle w:val="Heading3"/>
      </w:pPr>
      <w:r>
        <w:t>Deer Island</w:t>
      </w:r>
    </w:p>
    <w:p>
      <w:r>
        <w:t>Deer Island is a private island in the St. Lawrence River, approximately 1.5 miles downriver from Alexandria Bay, New York. The island was purchased by Judge Samuel Miller in 1858 for $10 and later bequeathed to Skull and Bones by his son George Douglas Miller, a Yale alumnus and Bonesman (Class of 1870).</w:t>
      </w:r>
    </w:p>
    <w:p>
      <w:r>
        <w:t>The Deer Island Club Association was established by the society in 1908. The island serves as a retreat location where members conduct private meetings and bonding activities away from public scrutiny.</w:t>
      </w:r>
    </w:p>
    <w:p>
      <w:r>
        <w:t>According to reports, George W. Bush hosted annual dinners for Bonesmen at his Dallas office until 2019, when younger members reportedly confronted him about racism and war crimes allegations, causing him to discontinue the tradition.</w:t>
      </w:r>
    </w:p>
    <w:p>
      <w:pPr>
        <w:pStyle w:val="Heading2"/>
      </w:pPr>
      <w:r>
        <w:t>SECTION 3: NAZI GERMANY CONNECTIONS</w:t>
      </w:r>
    </w:p>
    <w:p>
      <w:pPr>
        <w:pStyle w:val="Heading3"/>
      </w:pPr>
      <w:r>
        <w:t>Prescott Bush and Union Banking Corporation</w:t>
      </w:r>
    </w:p>
    <w:p>
      <w:r>
        <w:t>Prescott Bush (Skull and Bones Class of 1917), father of President George H.W. Bush and grandfather of President George W. Bush, was a director and shareholder of companies that profited from involvement with the financial backers of Nazi Germany.</w:t>
      </w:r>
    </w:p>
    <w:p>
      <w:r>
        <w:t>Documents from the U.S. National Archives confirm that Prescott Bush was a director of the Union Banking Corporation (UBC), a New York-based bank that represented the U.S. interests of German industrialist Fritz Thyssen, who helped finance Hitler's rise to power in the 1930s.</w:t>
      </w:r>
    </w:p>
    <w:p>
      <w:pPr>
        <w:pStyle w:val="Heading3"/>
      </w:pPr>
      <w:r>
        <w:t>Fritz Thyssen Financing</w:t>
      </w:r>
    </w:p>
    <w:p>
      <w:r>
        <w:t>Fritz Thyssen owned the largest steel and coal company in Germany and grew rich from Hitler's rearmament efforts between the two world wars. Union Banking Corporation worked exclusively for, and was owned by, a Thyssen-controlled bank in the Netherlands (Bank voor Handel en Scheepvaart N.V. of Rotterdam).</w:t>
      </w:r>
    </w:p>
    <w:p>
      <w:r>
        <w:t>Between 1931 and 1933, UBC bought more than $8 million worth of gold, of which $3 million was shipped abroad. Between 1924 and 1940, UBC assets hovered around $3 million.</w:t>
      </w:r>
    </w:p>
    <w:p>
      <w:pPr>
        <w:pStyle w:val="Heading3"/>
      </w:pPr>
      <w:r>
        <w:t>Trading with the Enemy Act Violations</w:t>
      </w:r>
    </w:p>
    <w:p>
      <w:r>
        <w:t>On October 20, 1942, the U.S. government under the Trading with the Enemy Act seized the assets of Union Banking Corporation. Prescott Bush was named as a director in the vesting order. Further seizures were made against two affiliates:</w:t>
      </w:r>
    </w:p>
    <w:p>
      <w:pPr>
        <w:spacing w:after="120"/>
        <w:ind w:left="720" w:hanging="360"/>
      </w:pPr>
      <w:r>
        <w:t>•  Holland-American Trading Corporation</w:t>
      </w:r>
    </w:p>
    <w:p>
      <w:pPr>
        <w:spacing w:after="120"/>
        <w:ind w:left="720" w:hanging="360"/>
      </w:pPr>
      <w:r>
        <w:t>•  Seamless Steel Equipment Corporation</w:t>
      </w:r>
    </w:p>
    <w:p>
      <w:r>
        <w:t>By November 1942, the Silesian-American Company, another Prescott Bush venture, was also seized. This company had connections to Consolidated Silesian Steel Company (CSSC), which used Nazi slave labor from concentration camps including Auschwitz.</w:t>
      </w:r>
    </w:p>
    <w:p>
      <w:pPr>
        <w:pStyle w:val="Heading3"/>
      </w:pPr>
      <w:r>
        <w:t>Post-War Continuation</w:t>
      </w:r>
    </w:p>
    <w:p>
      <w:r>
        <w:t>After the war, 18 additional Brown Brothers Harriman and UBC-related client assets were seized under the Trading with the Enemy Act, including several showing continuation of relationships with the Thyssen family after the initial 1942 seizures. The final seizure occurred in October 1950 - the same time Prescott Bush announced his Senate campaign.</w:t>
      </w:r>
    </w:p>
    <w:p>
      <w:pPr>
        <w:pStyle w:val="Heading3"/>
      </w:pPr>
      <w:r>
        <w:t>Holocaust Survivor Lawsuit</w:t>
      </w:r>
    </w:p>
    <w:p>
      <w:r>
        <w:t>More than 60 years after these events, a civil action for damages was brought in Germany against the Bush family by two former slave laborers at Auschwitz, citing the Bush family's financial connections to companies that profited from Nazi war crimes.</w:t>
      </w:r>
    </w:p>
    <w:p>
      <w:pPr>
        <w:pStyle w:val="Heading2"/>
      </w:pPr>
      <w:r>
        <w:t>SECTION 4: CIA INFILTRATION</w:t>
      </w:r>
    </w:p>
    <w:p>
      <w:pPr>
        <w:pStyle w:val="Heading3"/>
      </w:pPr>
      <w:r>
        <w:t>Bonesmen in CIA Leadership</w:t>
      </w:r>
    </w:p>
    <w:p>
      <w:r>
        <w:t>The Central Intelligence Agency has been heavily infiltrated by Skull and Bones members since its founding. The term "spooks" - the well-known CIA term for clandestine operators - was originally Yale campus argot for secret society members.</w:t>
      </w:r>
    </w:p>
    <w:p>
      <w:r>
        <w:t>There is reportedly a "Bones club" within the CIA that helps promote the intelligence careers of Yale secret society members. The following Bonesmen have held key CIA positions:</w:t>
      </w:r>
    </w:p>
    <w:tbl>
      <w:tblPr>
        <w:tblW w:w="5000" w:type="pct"/>
        <w:tblBorders>
          <w:top w:val="single" w:color="1a365d" w:sz="8"/>
          <w:left w:val="nil"/>
          <w:bottom w:val="single" w:color="1a365d" w:sz="8"/>
          <w:right w:val="nil"/>
          <w:insideH w:val="single" w:color="d1d5db" w:sz="4"/>
          <w:insideV w:val="nil"/>
        </w:tblBorders>
        <w:tblCellMar>
          <w:top w:w="100" w:type="dxa"/>
          <w:left w:w="150" w:type="dxa"/>
          <w:bottom w:w="100" w:type="dxa"/>
          <w:right w:w="150" w:type="dxa"/>
        </w:tblCellMar>
      </w:tblPr>
      <w:tblGrid>
        <w:gridCol w:w="3000"/>
        <w:gridCol w:w="2000"/>
        <w:gridCol w:w="5000"/>
      </w:tblGrid>
      <w:tr>
        <w:trPr>
          <w:tblHeader/>
          <w:trHeight w:val="400" w:hRule="atLeast"/>
        </w:trPr>
        <w:tc>
          <w:tcPr>
            <w:tcW w:w="0" w:type="auto"/>
            <w:tcBorders>
              <w:bottom w:val="single" w:color="1a365d" w:sz="6"/>
            </w:tcBorders>
            <w:shd w:val="clear" w:fill="e2e8f0"/>
            <w:vAlign w:val="center"/>
          </w:tcPr>
          <w:p>
            <w:pPr>
              <w:spacing w:before="0" w:after="0"/>
              <w:jc w:val="center"/>
            </w:pPr>
            <w:r>
              <w:rPr>
                <w:b/>
                <w:color w:val="1a202c"/>
                <w:sz w:val="22"/>
              </w:rPr>
              <w:t>Name</w:t>
            </w:r>
          </w:p>
        </w:tc>
        <w:tc>
          <w:tcPr>
            <w:tcW w:w="0" w:type="auto"/>
            <w:tcBorders>
              <w:bottom w:val="single" w:color="1a365d" w:sz="6"/>
            </w:tcBorders>
            <w:shd w:val="clear" w:fill="e2e8f0"/>
            <w:vAlign w:val="center"/>
          </w:tcPr>
          <w:p>
            <w:pPr>
              <w:spacing w:before="0" w:after="0"/>
              <w:jc w:val="center"/>
            </w:pPr>
            <w:r>
              <w:rPr>
                <w:b/>
                <w:color w:val="1a202c"/>
                <w:sz w:val="22"/>
              </w:rPr>
              <w:t>Bones Class</w:t>
            </w:r>
          </w:p>
        </w:tc>
        <w:tc>
          <w:tcPr>
            <w:tcW w:w="0" w:type="auto"/>
            <w:tcBorders>
              <w:bottom w:val="single" w:color="1a365d" w:sz="6"/>
            </w:tcBorders>
            <w:shd w:val="clear" w:fill="e2e8f0"/>
            <w:vAlign w:val="center"/>
          </w:tcPr>
          <w:p>
            <w:pPr>
              <w:spacing w:before="0" w:after="0"/>
              <w:jc w:val="center"/>
            </w:pPr>
            <w:r>
              <w:rPr>
                <w:b/>
                <w:color w:val="1a202c"/>
                <w:sz w:val="22"/>
              </w:rPr>
              <w:t>CIA Position</w:t>
            </w:r>
          </w:p>
        </w:tc>
      </w:tr>
      <w:tr>
        <w:trPr>
          <w:trHeight w:val="350" w:hRule="atLeast"/>
        </w:trPr>
        <w:tc>
          <w:tcPr>
            <w:tcW w:w="0" w:type="auto"/>
            <w:vAlign w:val="center"/>
          </w:tcPr>
          <w:p>
            <w:pPr>
              <w:spacing w:before="0" w:after="0"/>
              <w:jc w:val="left"/>
            </w:pPr>
            <w:r>
              <w:rPr>
                <w:color w:val="1a202c"/>
                <w:sz w:val="22"/>
              </w:rPr>
              <w:t>George H.W. Bush</w:t>
            </w:r>
          </w:p>
        </w:tc>
        <w:tc>
          <w:tcPr>
            <w:tcW w:w="0" w:type="auto"/>
            <w:vAlign w:val="center"/>
          </w:tcPr>
          <w:p>
            <w:pPr>
              <w:spacing w:before="0" w:after="0"/>
              <w:jc w:val="left"/>
            </w:pPr>
            <w:r>
              <w:rPr>
                <w:color w:val="1a202c"/>
                <w:sz w:val="22"/>
              </w:rPr>
              <w:t>1948</w:t>
            </w:r>
          </w:p>
        </w:tc>
        <w:tc>
          <w:tcPr>
            <w:tcW w:w="0" w:type="auto"/>
            <w:vAlign w:val="center"/>
          </w:tcPr>
          <w:p>
            <w:pPr>
              <w:spacing w:before="0" w:after="0"/>
              <w:jc w:val="left"/>
            </w:pPr>
            <w:r>
              <w:rPr>
                <w:color w:val="1a202c"/>
                <w:sz w:val="22"/>
              </w:rPr>
              <w:t>Director of Central Intelligence (1976)</w:t>
            </w:r>
          </w:p>
        </w:tc>
      </w:tr>
      <w:tr>
        <w:trPr>
          <w:trHeight w:val="350" w:hRule="atLeast"/>
        </w:trPr>
        <w:tc>
          <w:tcPr>
            <w:tcW w:w="0" w:type="auto"/>
            <w:vAlign w:val="center"/>
          </w:tcPr>
          <w:p>
            <w:pPr>
              <w:spacing w:before="0" w:after="0"/>
              <w:jc w:val="left"/>
            </w:pPr>
            <w:r>
              <w:rPr>
                <w:color w:val="1a202c"/>
                <w:sz w:val="22"/>
              </w:rPr>
              <w:t>William F. Buckley Jr.</w:t>
            </w:r>
          </w:p>
        </w:tc>
        <w:tc>
          <w:tcPr>
            <w:tcW w:w="0" w:type="auto"/>
            <w:vAlign w:val="center"/>
          </w:tcPr>
          <w:p>
            <w:pPr>
              <w:spacing w:before="0" w:after="0"/>
              <w:jc w:val="left"/>
            </w:pPr>
            <w:r>
              <w:rPr>
                <w:color w:val="1a202c"/>
                <w:sz w:val="22"/>
              </w:rPr>
              <w:t>1950</w:t>
            </w:r>
          </w:p>
        </w:tc>
        <w:tc>
          <w:tcPr>
            <w:tcW w:w="0" w:type="auto"/>
            <w:vAlign w:val="center"/>
          </w:tcPr>
          <w:p>
            <w:pPr>
              <w:spacing w:before="0" w:after="0"/>
              <w:jc w:val="left"/>
            </w:pPr>
            <w:r>
              <w:rPr>
                <w:color w:val="1a202c"/>
                <w:sz w:val="22"/>
              </w:rPr>
              <w:t>CIA Officer in Mexico</w:t>
            </w:r>
          </w:p>
        </w:tc>
      </w:tr>
      <w:tr>
        <w:trPr>
          <w:trHeight w:val="350" w:hRule="atLeast"/>
        </w:trPr>
        <w:tc>
          <w:tcPr>
            <w:tcW w:w="0" w:type="auto"/>
            <w:vAlign w:val="center"/>
          </w:tcPr>
          <w:p>
            <w:pPr>
              <w:spacing w:before="0" w:after="0"/>
              <w:jc w:val="left"/>
            </w:pPr>
            <w:r>
              <w:rPr>
                <w:color w:val="1a202c"/>
                <w:sz w:val="22"/>
              </w:rPr>
              <w:t>Dino Pionzio</w:t>
            </w:r>
          </w:p>
        </w:tc>
        <w:tc>
          <w:tcPr>
            <w:tcW w:w="0" w:type="auto"/>
            <w:vAlign w:val="center"/>
          </w:tcPr>
          <w:p>
            <w:pPr>
              <w:spacing w:before="0" w:after="0"/>
              <w:jc w:val="left"/>
            </w:pPr>
            <w:r>
              <w:rPr>
                <w:color w:val="1a202c"/>
                <w:sz w:val="22"/>
              </w:rPr>
              <w:t>1950</w:t>
            </w:r>
          </w:p>
        </w:tc>
        <w:tc>
          <w:tcPr>
            <w:tcW w:w="0" w:type="auto"/>
            <w:vAlign w:val="center"/>
          </w:tcPr>
          <w:p>
            <w:pPr>
              <w:spacing w:before="0" w:after="0"/>
              <w:jc w:val="left"/>
            </w:pPr>
            <w:r>
              <w:rPr>
                <w:color w:val="1a202c"/>
                <w:sz w:val="22"/>
              </w:rPr>
              <w:t>Deputy Chief of Station, Chile</w:t>
            </w:r>
          </w:p>
        </w:tc>
      </w:tr>
      <w:tr>
        <w:trPr>
          <w:trHeight w:val="350" w:hRule="atLeast"/>
        </w:trPr>
        <w:tc>
          <w:tcPr>
            <w:tcW w:w="0" w:type="auto"/>
            <w:vAlign w:val="center"/>
          </w:tcPr>
          <w:p>
            <w:pPr>
              <w:spacing w:before="0" w:after="0"/>
              <w:jc w:val="left"/>
            </w:pPr>
            <w:r>
              <w:rPr>
                <w:color w:val="1a202c"/>
                <w:sz w:val="22"/>
              </w:rPr>
              <w:t>Hugh Cunningham</w:t>
            </w:r>
          </w:p>
        </w:tc>
        <w:tc>
          <w:tcPr>
            <w:tcW w:w="0" w:type="auto"/>
            <w:vAlign w:val="center"/>
          </w:tcPr>
          <w:p>
            <w:pPr>
              <w:spacing w:before="0" w:after="0"/>
              <w:jc w:val="left"/>
            </w:pPr>
            <w:r>
              <w:rPr>
                <w:color w:val="1a202c"/>
                <w:sz w:val="22"/>
              </w:rPr>
              <w:t>1934</w:t>
            </w:r>
          </w:p>
        </w:tc>
        <w:tc>
          <w:tcPr>
            <w:tcW w:w="0" w:type="auto"/>
            <w:vAlign w:val="center"/>
          </w:tcPr>
          <w:p>
            <w:pPr>
              <w:spacing w:before="0" w:after="0"/>
              <w:jc w:val="left"/>
            </w:pPr>
            <w:r>
              <w:rPr>
                <w:color w:val="1a202c"/>
                <w:sz w:val="22"/>
              </w:rPr>
              <w:t>Director of Training, Clandestine Services</w:t>
            </w:r>
          </w:p>
        </w:tc>
      </w:tr>
      <w:tr>
        <w:trPr>
          <w:trHeight w:val="350" w:hRule="atLeast"/>
        </w:trPr>
        <w:tc>
          <w:tcPr>
            <w:tcW w:w="0" w:type="auto"/>
            <w:vAlign w:val="center"/>
          </w:tcPr>
          <w:p>
            <w:pPr>
              <w:spacing w:before="0" w:after="0"/>
              <w:jc w:val="left"/>
            </w:pPr>
            <w:r>
              <w:rPr>
                <w:color w:val="1a202c"/>
                <w:sz w:val="22"/>
              </w:rPr>
              <w:t>William Bundy</w:t>
            </w:r>
          </w:p>
        </w:tc>
        <w:tc>
          <w:tcPr>
            <w:tcW w:w="0" w:type="auto"/>
            <w:vAlign w:val="center"/>
          </w:tcPr>
          <w:p>
            <w:pPr>
              <w:spacing w:before="0" w:after="0"/>
              <w:jc w:val="left"/>
            </w:pPr>
            <w:r>
              <w:rPr>
                <w:color w:val="1a202c"/>
                <w:sz w:val="22"/>
              </w:rPr>
              <w:t>1939</w:t>
            </w:r>
          </w:p>
        </w:tc>
        <w:tc>
          <w:tcPr>
            <w:tcW w:w="0" w:type="auto"/>
            <w:vAlign w:val="center"/>
          </w:tcPr>
          <w:p>
            <w:pPr>
              <w:spacing w:before="0" w:after="0"/>
              <w:jc w:val="left"/>
            </w:pPr>
            <w:r>
              <w:rPr>
                <w:color w:val="1a202c"/>
                <w:sz w:val="22"/>
              </w:rPr>
              <w:t>CIA Official, State/Defense Liaison</w:t>
            </w:r>
          </w:p>
        </w:tc>
      </w:tr>
      <w:tr>
        <w:trPr>
          <w:trHeight w:val="350" w:hRule="atLeast"/>
        </w:trPr>
        <w:tc>
          <w:tcPr>
            <w:tcW w:w="0" w:type="auto"/>
            <w:vAlign w:val="center"/>
          </w:tcPr>
          <w:p>
            <w:pPr>
              <w:spacing w:before="0" w:after="0"/>
              <w:jc w:val="left"/>
            </w:pPr>
            <w:r>
              <w:rPr>
                <w:color w:val="1a202c"/>
                <w:sz w:val="22"/>
              </w:rPr>
              <w:t>F. Trubee Davison</w:t>
            </w:r>
          </w:p>
        </w:tc>
        <w:tc>
          <w:tcPr>
            <w:tcW w:w="0" w:type="auto"/>
            <w:vAlign w:val="center"/>
          </w:tcPr>
          <w:p>
            <w:pPr>
              <w:spacing w:before="0" w:after="0"/>
              <w:jc w:val="left"/>
            </w:pPr>
            <w:r>
              <w:rPr>
                <w:color w:val="1a202c"/>
                <w:sz w:val="22"/>
              </w:rPr>
              <w:t>1920</w:t>
            </w:r>
          </w:p>
        </w:tc>
        <w:tc>
          <w:tcPr>
            <w:tcW w:w="0" w:type="auto"/>
            <w:vAlign w:val="center"/>
          </w:tcPr>
          <w:p>
            <w:pPr>
              <w:spacing w:before="0" w:after="0"/>
              <w:jc w:val="left"/>
            </w:pPr>
            <w:r>
              <w:rPr>
                <w:color w:val="1a202c"/>
                <w:sz w:val="22"/>
              </w:rPr>
              <w:t>CIA Director of Personnel (1951)</w:t>
            </w:r>
          </w:p>
        </w:tc>
      </w:tr>
      <w:tr>
        <w:trPr>
          <w:trHeight w:val="350" w:hRule="atLeast"/>
        </w:trPr>
        <w:tc>
          <w:tcPr>
            <w:tcW w:w="0" w:type="auto"/>
            <w:vAlign w:val="center"/>
          </w:tcPr>
          <w:p>
            <w:pPr>
              <w:spacing w:before="0" w:after="0"/>
              <w:jc w:val="left"/>
            </w:pPr>
            <w:r>
              <w:rPr>
                <w:color w:val="1a202c"/>
                <w:sz w:val="22"/>
              </w:rPr>
              <w:t>James Lilley</w:t>
            </w:r>
          </w:p>
        </w:tc>
        <w:tc>
          <w:tcPr>
            <w:tcW w:w="0" w:type="auto"/>
            <w:vAlign w:val="center"/>
          </w:tcPr>
          <w:p>
            <w:pPr>
              <w:spacing w:before="0" w:after="0"/>
              <w:jc w:val="left"/>
            </w:pPr>
            <w:r>
              <w:rPr>
                <w:color w:val="1a202c"/>
                <w:sz w:val="22"/>
              </w:rPr>
              <w:t>1950s</w:t>
            </w:r>
          </w:p>
        </w:tc>
        <w:tc>
          <w:tcPr>
            <w:tcW w:w="0" w:type="auto"/>
            <w:vAlign w:val="center"/>
          </w:tcPr>
          <w:p>
            <w:pPr>
              <w:spacing w:before="0" w:after="0"/>
              <w:jc w:val="left"/>
            </w:pPr>
            <w:r>
              <w:rPr>
                <w:color w:val="1a202c"/>
                <w:sz w:val="22"/>
              </w:rPr>
              <w:t>Career CIA, Ambassador to Beijing</w:t>
            </w:r>
          </w:p>
        </w:tc>
      </w:tr>
      <w:tr>
        <w:trPr>
          <w:trHeight w:val="350" w:hRule="atLeast"/>
        </w:trPr>
        <w:tc>
          <w:tcPr>
            <w:tcW w:w="0" w:type="auto"/>
            <w:vAlign w:val="center"/>
          </w:tcPr>
          <w:p>
            <w:pPr>
              <w:spacing w:before="0" w:after="0"/>
              <w:jc w:val="left"/>
            </w:pPr>
            <w:r>
              <w:rPr>
                <w:color w:val="1a202c"/>
                <w:sz w:val="22"/>
              </w:rPr>
              <w:t>Winston Lord</w:t>
            </w:r>
          </w:p>
        </w:tc>
        <w:tc>
          <w:tcPr>
            <w:tcW w:w="0" w:type="auto"/>
            <w:vAlign w:val="center"/>
          </w:tcPr>
          <w:p>
            <w:pPr>
              <w:spacing w:before="0" w:after="0"/>
              <w:jc w:val="left"/>
            </w:pPr>
            <w:r>
              <w:rPr>
                <w:color w:val="1a202c"/>
                <w:sz w:val="22"/>
              </w:rPr>
              <w:t>1959</w:t>
            </w:r>
          </w:p>
        </w:tc>
        <w:tc>
          <w:tcPr>
            <w:tcW w:w="0" w:type="auto"/>
            <w:vAlign w:val="center"/>
          </w:tcPr>
          <w:p>
            <w:pPr>
              <w:spacing w:before="0" w:after="0"/>
              <w:jc w:val="left"/>
            </w:pPr>
            <w:r>
              <w:rPr>
                <w:color w:val="1a202c"/>
                <w:sz w:val="22"/>
              </w:rPr>
              <w:t>CIA Officer in Asia</w:t>
            </w:r>
          </w:p>
        </w:tc>
      </w:tr>
    </w:tbl>
    <w:p>
      <w:pPr>
        <w:pStyle w:val="Heading3"/>
      </w:pPr>
      <w:r>
        <w:t>Covert Operations</w:t>
      </w:r>
    </w:p>
    <w:p>
      <w:r>
        <w:rPr>
          <w:b/>
        </w:rPr>
        <w:t>Chile - Overthrow of Allende: </w:t>
      </w:r>
      <w:r>
        <w:t>Dino Pionzio (Bones Class of 1950) served as CIA deputy chief of station in Chile during the overthrow of democratically elected President Salvador Allende in 1973. This CIA-backed coup resulted in the installation of military dictator Augusto Pinochet, whose regime committed widespread human rights abuses.</w:t>
      </w:r>
    </w:p>
    <w:p>
      <w:r>
        <w:rPr>
          <w:b/>
        </w:rPr>
        <w:t>Iran-Contra Affair: </w:t>
      </w:r>
      <w:r>
        <w:t>George H.W. Bush, as Vice President and former CIA Director, was implicated in the Iran-Contra affair - the secret sale of arms to Iran with proceeds diverted to support Contra rebels in Nicaragua.</w:t>
      </w:r>
    </w:p>
    <w:p>
      <w:r>
        <w:rPr>
          <w:b/>
        </w:rPr>
        <w:t>MKUltra Program: </w:t>
      </w:r>
      <w:r>
        <w:t>The CIA's MKUltra mind control program operated during the period when Bonesmen held key positions in the agency. This illegal program conducted experiments on unwitting human subjects using drugs, psychological torture, and other coercive techniques.</w:t>
      </w:r>
    </w:p>
    <w:p>
      <w:r>
        <w:rPr>
          <w:b/>
        </w:rPr>
        <w:t>Phoenix Program: </w:t>
      </w:r>
      <w:r>
        <w:t>The Phoenix Program in Vietnam involved assassination, torture, and civilian targeting. This program operated during the tenure of Bonesmen in key intelligence and defense positions, including McGeorge Bundy as National Security Advisor.</w:t>
      </w:r>
    </w:p>
    <w:p>
      <w:pPr>
        <w:pStyle w:val="Heading2"/>
      </w:pPr>
      <w:r>
        <w:t>SECTION 5: POLITICAL INFILTRATION</w:t>
      </w:r>
    </w:p>
    <w:p>
      <w:pPr>
        <w:pStyle w:val="Heading3"/>
      </w:pPr>
      <w:r>
        <w:t>Presidents and Presidential Candidates</w:t>
      </w:r>
    </w:p>
    <w:p>
      <w:r>
        <w:t>Three U.S. Presidents have been members of Skull and Bones, representing a direct pipeline from this secret society to the highest office in the land:</w:t>
      </w:r>
    </w:p>
    <w:tbl>
      <w:tblPr>
        <w:tblW w:w="5000" w:type="pct"/>
        <w:tblBorders>
          <w:top w:val="single" w:color="1a365d" w:sz="8"/>
          <w:left w:val="nil"/>
          <w:bottom w:val="single" w:color="1a365d" w:sz="8"/>
          <w:right w:val="nil"/>
          <w:insideH w:val="single" w:color="d1d5db" w:sz="4"/>
          <w:insideV w:val="nil"/>
        </w:tblBorders>
        <w:tblCellMar>
          <w:top w:w="100" w:type="dxa"/>
          <w:left w:w="150" w:type="dxa"/>
          <w:bottom w:w="100" w:type="dxa"/>
          <w:right w:w="150" w:type="dxa"/>
        </w:tblCellMar>
      </w:tblPr>
      <w:tblGrid>
        <w:gridCol w:w="3000"/>
        <w:gridCol w:w="2000"/>
        <w:gridCol w:w="5000"/>
      </w:tblGrid>
      <w:tr>
        <w:trPr>
          <w:tblHeader/>
          <w:trHeight w:val="400" w:hRule="atLeast"/>
        </w:trPr>
        <w:tc>
          <w:tcPr>
            <w:tcW w:w="0" w:type="auto"/>
            <w:tcBorders>
              <w:bottom w:val="single" w:color="1a365d" w:sz="6"/>
            </w:tcBorders>
            <w:shd w:val="clear" w:fill="e2e8f0"/>
            <w:vAlign w:val="center"/>
          </w:tcPr>
          <w:p>
            <w:pPr>
              <w:spacing w:before="0" w:after="0"/>
              <w:jc w:val="center"/>
            </w:pPr>
            <w:r>
              <w:rPr>
                <w:b/>
                <w:color w:val="1a202c"/>
                <w:sz w:val="22"/>
              </w:rPr>
              <w:t>Name</w:t>
            </w:r>
          </w:p>
        </w:tc>
        <w:tc>
          <w:tcPr>
            <w:tcW w:w="0" w:type="auto"/>
            <w:tcBorders>
              <w:bottom w:val="single" w:color="1a365d" w:sz="6"/>
            </w:tcBorders>
            <w:shd w:val="clear" w:fill="e2e8f0"/>
            <w:vAlign w:val="center"/>
          </w:tcPr>
          <w:p>
            <w:pPr>
              <w:spacing w:before="0" w:after="0"/>
              <w:jc w:val="center"/>
            </w:pPr>
            <w:r>
              <w:rPr>
                <w:b/>
                <w:color w:val="1a202c"/>
                <w:sz w:val="22"/>
              </w:rPr>
              <w:t>Bones Class</w:t>
            </w:r>
          </w:p>
        </w:tc>
        <w:tc>
          <w:tcPr>
            <w:tcW w:w="0" w:type="auto"/>
            <w:tcBorders>
              <w:bottom w:val="single" w:color="1a365d" w:sz="6"/>
            </w:tcBorders>
            <w:shd w:val="clear" w:fill="e2e8f0"/>
            <w:vAlign w:val="center"/>
          </w:tcPr>
          <w:p>
            <w:pPr>
              <w:spacing w:before="0" w:after="0"/>
              <w:jc w:val="center"/>
            </w:pPr>
            <w:r>
              <w:rPr>
                <w:b/>
                <w:color w:val="1a202c"/>
                <w:sz w:val="22"/>
              </w:rPr>
              <w:t>Presidential Term</w:t>
            </w:r>
          </w:p>
        </w:tc>
      </w:tr>
      <w:tr>
        <w:trPr>
          <w:trHeight w:val="350" w:hRule="atLeast"/>
        </w:trPr>
        <w:tc>
          <w:tcPr>
            <w:tcW w:w="0" w:type="auto"/>
            <w:vAlign w:val="center"/>
          </w:tcPr>
          <w:p>
            <w:pPr>
              <w:spacing w:before="0" w:after="0"/>
              <w:jc w:val="left"/>
            </w:pPr>
            <w:r>
              <w:rPr>
                <w:color w:val="1a202c"/>
                <w:sz w:val="22"/>
              </w:rPr>
              <w:t>William Howard Taft</w:t>
            </w:r>
          </w:p>
        </w:tc>
        <w:tc>
          <w:tcPr>
            <w:tcW w:w="0" w:type="auto"/>
            <w:vAlign w:val="center"/>
          </w:tcPr>
          <w:p>
            <w:pPr>
              <w:spacing w:before="0" w:after="0"/>
              <w:jc w:val="left"/>
            </w:pPr>
            <w:r>
              <w:rPr>
                <w:color w:val="1a202c"/>
                <w:sz w:val="22"/>
              </w:rPr>
              <w:t>1878</w:t>
            </w:r>
          </w:p>
        </w:tc>
        <w:tc>
          <w:tcPr>
            <w:tcW w:w="0" w:type="auto"/>
            <w:vAlign w:val="center"/>
          </w:tcPr>
          <w:p>
            <w:pPr>
              <w:spacing w:before="0" w:after="0"/>
              <w:jc w:val="left"/>
            </w:pPr>
            <w:r>
              <w:rPr>
                <w:color w:val="1a202c"/>
                <w:sz w:val="22"/>
              </w:rPr>
              <w:t>27th President (1909-1913)</w:t>
            </w:r>
          </w:p>
        </w:tc>
      </w:tr>
      <w:tr>
        <w:trPr>
          <w:trHeight w:val="350" w:hRule="atLeast"/>
        </w:trPr>
        <w:tc>
          <w:tcPr>
            <w:tcW w:w="0" w:type="auto"/>
            <w:vAlign w:val="center"/>
          </w:tcPr>
          <w:p>
            <w:pPr>
              <w:spacing w:before="0" w:after="0"/>
              <w:jc w:val="left"/>
            </w:pPr>
            <w:r>
              <w:rPr>
                <w:color w:val="1a202c"/>
                <w:sz w:val="22"/>
              </w:rPr>
              <w:t>George H.W. Bush</w:t>
            </w:r>
          </w:p>
        </w:tc>
        <w:tc>
          <w:tcPr>
            <w:tcW w:w="0" w:type="auto"/>
            <w:vAlign w:val="center"/>
          </w:tcPr>
          <w:p>
            <w:pPr>
              <w:spacing w:before="0" w:after="0"/>
              <w:jc w:val="left"/>
            </w:pPr>
            <w:r>
              <w:rPr>
                <w:color w:val="1a202c"/>
                <w:sz w:val="22"/>
              </w:rPr>
              <w:t>1948</w:t>
            </w:r>
          </w:p>
        </w:tc>
        <w:tc>
          <w:tcPr>
            <w:tcW w:w="0" w:type="auto"/>
            <w:vAlign w:val="center"/>
          </w:tcPr>
          <w:p>
            <w:pPr>
              <w:spacing w:before="0" w:after="0"/>
              <w:jc w:val="left"/>
            </w:pPr>
            <w:r>
              <w:rPr>
                <w:color w:val="1a202c"/>
                <w:sz w:val="22"/>
              </w:rPr>
              <w:t>41st President (1989-1993)</w:t>
            </w:r>
          </w:p>
        </w:tc>
      </w:tr>
      <w:tr>
        <w:trPr>
          <w:trHeight w:val="350" w:hRule="atLeast"/>
        </w:trPr>
        <w:tc>
          <w:tcPr>
            <w:tcW w:w="0" w:type="auto"/>
            <w:vAlign w:val="center"/>
          </w:tcPr>
          <w:p>
            <w:pPr>
              <w:spacing w:before="0" w:after="0"/>
              <w:jc w:val="left"/>
            </w:pPr>
            <w:r>
              <w:rPr>
                <w:color w:val="1a202c"/>
                <w:sz w:val="22"/>
              </w:rPr>
              <w:t>George W. Bush</w:t>
            </w:r>
          </w:p>
        </w:tc>
        <w:tc>
          <w:tcPr>
            <w:tcW w:w="0" w:type="auto"/>
            <w:vAlign w:val="center"/>
          </w:tcPr>
          <w:p>
            <w:pPr>
              <w:spacing w:before="0" w:after="0"/>
              <w:jc w:val="left"/>
            </w:pPr>
            <w:r>
              <w:rPr>
                <w:color w:val="1a202c"/>
                <w:sz w:val="22"/>
              </w:rPr>
              <w:t>1968</w:t>
            </w:r>
          </w:p>
        </w:tc>
        <w:tc>
          <w:tcPr>
            <w:tcW w:w="0" w:type="auto"/>
            <w:vAlign w:val="center"/>
          </w:tcPr>
          <w:p>
            <w:pPr>
              <w:spacing w:before="0" w:after="0"/>
              <w:jc w:val="left"/>
            </w:pPr>
            <w:r>
              <w:rPr>
                <w:color w:val="1a202c"/>
                <w:sz w:val="22"/>
              </w:rPr>
              <w:t>43rd President (2001-2009)</w:t>
            </w:r>
          </w:p>
        </w:tc>
      </w:tr>
    </w:tbl>
    <w:p>
      <w:r>
        <w:t>Additionally, John Kerry (Bones Class of 1966) was the Democratic presidential nominee in 2004, creating a situation where both major party candidates were Bonesmen. Kerry later served as Secretary of State under President Obama.</w:t>
      </w:r>
    </w:p>
    <w:p>
      <w:pPr>
        <w:pStyle w:val="Heading3"/>
      </w:pPr>
      <w:r>
        <w:t>The 2004 Election: Both Candidates Bonesmen</w:t>
      </w:r>
    </w:p>
    <w:p>
      <w:r>
        <w:t>The 2004 U.S. presidential election was unprecedented in featuring members of the same secret society as the only viable candidates from both major parties:</w:t>
      </w:r>
    </w:p>
    <w:p>
      <w:pPr>
        <w:spacing w:after="120"/>
        <w:ind w:left="720" w:hanging="360"/>
      </w:pPr>
      <w:r>
        <w:t>•  George W. Bush (Republican) - Bones Class of 1968</w:t>
      </w:r>
    </w:p>
    <w:p>
      <w:pPr>
        <w:spacing w:after="120"/>
        <w:ind w:left="720" w:hanging="360"/>
      </w:pPr>
      <w:r>
        <w:t>•  John Kerry (Democrat) - Bones Class of 1966</w:t>
      </w:r>
    </w:p>
    <w:p>
      <w:r>
        <w:t>When asked about their shared membership during the campaign, both candidates dismissed it as irrelevant, with Kerry stating "It's a secret." This represented a fundamental conflict of interest, as both candidates had sworn lifetime loyalty oaths to the same secret organization.</w:t>
      </w:r>
    </w:p>
    <w:p>
      <w:pPr>
        <w:pStyle w:val="Heading3"/>
      </w:pPr>
      <w:r>
        <w:t>George W. Bush Bonesmen Appointments</w:t>
      </w:r>
    </w:p>
    <w:p>
      <w:r>
        <w:t>During his presidency, George W. Bush appointed at least 11 fellow Bonesmen to key government positions:</w:t>
      </w:r>
    </w:p>
    <w:tbl>
      <w:tblPr>
        <w:tblW w:w="5000" w:type="pct"/>
        <w:tblBorders>
          <w:top w:val="single" w:color="1a365d" w:sz="8"/>
          <w:left w:val="nil"/>
          <w:bottom w:val="single" w:color="1a365d" w:sz="8"/>
          <w:right w:val="nil"/>
          <w:insideH w:val="single" w:color="d1d5db" w:sz="4"/>
          <w:insideV w:val="nil"/>
        </w:tblBorders>
        <w:tblCellMar>
          <w:top w:w="100" w:type="dxa"/>
          <w:left w:w="150" w:type="dxa"/>
          <w:bottom w:w="100" w:type="dxa"/>
          <w:right w:w="150" w:type="dxa"/>
        </w:tblCellMar>
      </w:tblPr>
      <w:tblGrid>
        <w:gridCol w:w="3000"/>
        <w:gridCol w:w="2000"/>
        <w:gridCol w:w="5000"/>
      </w:tblGrid>
      <w:tr>
        <w:trPr>
          <w:tblHeader/>
          <w:trHeight w:val="400" w:hRule="atLeast"/>
        </w:trPr>
        <w:tc>
          <w:tcPr>
            <w:tcW w:w="0" w:type="auto"/>
            <w:tcBorders>
              <w:bottom w:val="single" w:color="1a365d" w:sz="6"/>
            </w:tcBorders>
            <w:shd w:val="clear" w:fill="e2e8f0"/>
            <w:vAlign w:val="center"/>
          </w:tcPr>
          <w:p>
            <w:pPr>
              <w:spacing w:before="0" w:after="0"/>
              <w:jc w:val="center"/>
            </w:pPr>
            <w:r>
              <w:rPr>
                <w:b/>
                <w:color w:val="1a202c"/>
                <w:sz w:val="22"/>
              </w:rPr>
              <w:t>Name</w:t>
            </w:r>
          </w:p>
        </w:tc>
        <w:tc>
          <w:tcPr>
            <w:tcW w:w="0" w:type="auto"/>
            <w:tcBorders>
              <w:bottom w:val="single" w:color="1a365d" w:sz="6"/>
            </w:tcBorders>
            <w:shd w:val="clear" w:fill="e2e8f0"/>
            <w:vAlign w:val="center"/>
          </w:tcPr>
          <w:p>
            <w:pPr>
              <w:spacing w:before="0" w:after="0"/>
              <w:jc w:val="center"/>
            </w:pPr>
            <w:r>
              <w:rPr>
                <w:b/>
                <w:color w:val="1a202c"/>
                <w:sz w:val="22"/>
              </w:rPr>
              <w:t>Bones Class</w:t>
            </w:r>
          </w:p>
        </w:tc>
        <w:tc>
          <w:tcPr>
            <w:tcW w:w="0" w:type="auto"/>
            <w:tcBorders>
              <w:bottom w:val="single" w:color="1a365d" w:sz="6"/>
            </w:tcBorders>
            <w:shd w:val="clear" w:fill="e2e8f0"/>
            <w:vAlign w:val="center"/>
          </w:tcPr>
          <w:p>
            <w:pPr>
              <w:spacing w:before="0" w:after="0"/>
              <w:jc w:val="center"/>
            </w:pPr>
            <w:r>
              <w:rPr>
                <w:b/>
                <w:color w:val="1a202c"/>
                <w:sz w:val="22"/>
              </w:rPr>
              <w:t>Position</w:t>
            </w:r>
          </w:p>
        </w:tc>
      </w:tr>
      <w:tr>
        <w:trPr>
          <w:trHeight w:val="350" w:hRule="atLeast"/>
        </w:trPr>
        <w:tc>
          <w:tcPr>
            <w:tcW w:w="0" w:type="auto"/>
            <w:vAlign w:val="center"/>
          </w:tcPr>
          <w:p>
            <w:pPr>
              <w:spacing w:before="0" w:after="0"/>
              <w:jc w:val="left"/>
            </w:pPr>
            <w:r>
              <w:rPr>
                <w:color w:val="1a202c"/>
                <w:sz w:val="22"/>
              </w:rPr>
              <w:t>Victor Ashe</w:t>
            </w:r>
          </w:p>
        </w:tc>
        <w:tc>
          <w:tcPr>
            <w:tcW w:w="0" w:type="auto"/>
            <w:vAlign w:val="center"/>
          </w:tcPr>
          <w:p>
            <w:pPr>
              <w:spacing w:before="0" w:after="0"/>
              <w:jc w:val="left"/>
            </w:pPr>
            <w:r>
              <w:rPr>
                <w:color w:val="1a202c"/>
                <w:sz w:val="22"/>
              </w:rPr>
              <w:t>1967</w:t>
            </w:r>
          </w:p>
        </w:tc>
        <w:tc>
          <w:tcPr>
            <w:tcW w:w="0" w:type="auto"/>
            <w:vAlign w:val="center"/>
          </w:tcPr>
          <w:p>
            <w:pPr>
              <w:spacing w:before="0" w:after="0"/>
              <w:jc w:val="left"/>
            </w:pPr>
            <w:r>
              <w:rPr>
                <w:color w:val="1a202c"/>
                <w:sz w:val="22"/>
              </w:rPr>
              <w:t>Ambassador to Poland</w:t>
            </w:r>
          </w:p>
        </w:tc>
      </w:tr>
      <w:tr>
        <w:trPr>
          <w:trHeight w:val="350" w:hRule="atLeast"/>
        </w:trPr>
        <w:tc>
          <w:tcPr>
            <w:tcW w:w="0" w:type="auto"/>
            <w:vAlign w:val="center"/>
          </w:tcPr>
          <w:p>
            <w:pPr>
              <w:spacing w:before="0" w:after="0"/>
              <w:jc w:val="left"/>
            </w:pPr>
            <w:r>
              <w:rPr>
                <w:color w:val="1a202c"/>
                <w:sz w:val="22"/>
              </w:rPr>
              <w:t>Roy Austin</w:t>
            </w:r>
          </w:p>
        </w:tc>
        <w:tc>
          <w:tcPr>
            <w:tcW w:w="0" w:type="auto"/>
            <w:vAlign w:val="center"/>
          </w:tcPr>
          <w:p>
            <w:pPr>
              <w:spacing w:before="0" w:after="0"/>
              <w:jc w:val="left"/>
            </w:pPr>
            <w:r>
              <w:rPr>
                <w:color w:val="1a202c"/>
                <w:sz w:val="22"/>
              </w:rPr>
              <w:t>1968</w:t>
            </w:r>
          </w:p>
        </w:tc>
        <w:tc>
          <w:tcPr>
            <w:tcW w:w="0" w:type="auto"/>
            <w:vAlign w:val="center"/>
          </w:tcPr>
          <w:p>
            <w:pPr>
              <w:spacing w:before="0" w:after="0"/>
              <w:jc w:val="left"/>
            </w:pPr>
            <w:r>
              <w:rPr>
                <w:color w:val="1a202c"/>
                <w:sz w:val="22"/>
              </w:rPr>
              <w:t>Ambassador to Trinidad</w:t>
            </w:r>
          </w:p>
        </w:tc>
      </w:tr>
      <w:tr>
        <w:trPr>
          <w:trHeight w:val="350" w:hRule="atLeast"/>
        </w:trPr>
        <w:tc>
          <w:tcPr>
            <w:tcW w:w="0" w:type="auto"/>
            <w:vAlign w:val="center"/>
          </w:tcPr>
          <w:p>
            <w:pPr>
              <w:spacing w:before="0" w:after="0"/>
              <w:jc w:val="left"/>
            </w:pPr>
            <w:r>
              <w:rPr>
                <w:color w:val="1a202c"/>
                <w:sz w:val="22"/>
              </w:rPr>
              <w:t>William Donaldson</w:t>
            </w:r>
          </w:p>
        </w:tc>
        <w:tc>
          <w:tcPr>
            <w:tcW w:w="0" w:type="auto"/>
            <w:vAlign w:val="center"/>
          </w:tcPr>
          <w:p>
            <w:pPr>
              <w:spacing w:before="0" w:after="0"/>
              <w:jc w:val="left"/>
            </w:pPr>
            <w:r>
              <w:rPr>
                <w:color w:val="1a202c"/>
                <w:sz w:val="22"/>
              </w:rPr>
              <w:t>1953</w:t>
            </w:r>
          </w:p>
        </w:tc>
        <w:tc>
          <w:tcPr>
            <w:tcW w:w="0" w:type="auto"/>
            <w:vAlign w:val="center"/>
          </w:tcPr>
          <w:p>
            <w:pPr>
              <w:spacing w:before="0" w:after="0"/>
              <w:jc w:val="left"/>
            </w:pPr>
            <w:r>
              <w:rPr>
                <w:color w:val="1a202c"/>
                <w:sz w:val="22"/>
              </w:rPr>
              <w:t>SEC Chairman</w:t>
            </w:r>
          </w:p>
        </w:tc>
      </w:tr>
      <w:tr>
        <w:trPr>
          <w:trHeight w:val="350" w:hRule="atLeast"/>
        </w:trPr>
        <w:tc>
          <w:tcPr>
            <w:tcW w:w="0" w:type="auto"/>
            <w:vAlign w:val="center"/>
          </w:tcPr>
          <w:p>
            <w:pPr>
              <w:spacing w:before="0" w:after="0"/>
              <w:jc w:val="left"/>
            </w:pPr>
            <w:r>
              <w:rPr>
                <w:color w:val="1a202c"/>
                <w:sz w:val="22"/>
              </w:rPr>
              <w:t>Evan Galbraith</w:t>
            </w:r>
          </w:p>
        </w:tc>
        <w:tc>
          <w:tcPr>
            <w:tcW w:w="0" w:type="auto"/>
            <w:vAlign w:val="center"/>
          </w:tcPr>
          <w:p>
            <w:pPr>
              <w:spacing w:before="0" w:after="0"/>
              <w:jc w:val="left"/>
            </w:pPr>
            <w:r>
              <w:rPr>
                <w:color w:val="1a202c"/>
                <w:sz w:val="22"/>
              </w:rPr>
              <w:t>1950</w:t>
            </w:r>
          </w:p>
        </w:tc>
        <w:tc>
          <w:tcPr>
            <w:tcW w:w="0" w:type="auto"/>
            <w:vAlign w:val="center"/>
          </w:tcPr>
          <w:p>
            <w:pPr>
              <w:spacing w:before="0" w:after="0"/>
              <w:jc w:val="left"/>
            </w:pPr>
            <w:r>
              <w:rPr>
                <w:color w:val="1a202c"/>
                <w:sz w:val="22"/>
              </w:rPr>
              <w:t>NATO Representative</w:t>
            </w:r>
          </w:p>
        </w:tc>
      </w:tr>
      <w:tr>
        <w:trPr>
          <w:trHeight w:val="350" w:hRule="atLeast"/>
        </w:trPr>
        <w:tc>
          <w:tcPr>
            <w:tcW w:w="0" w:type="auto"/>
            <w:vAlign w:val="center"/>
          </w:tcPr>
          <w:p>
            <w:pPr>
              <w:spacing w:before="0" w:after="0"/>
              <w:jc w:val="left"/>
            </w:pPr>
            <w:r>
              <w:rPr>
                <w:color w:val="1a202c"/>
                <w:sz w:val="22"/>
              </w:rPr>
              <w:t>Jack McGregor</w:t>
            </w:r>
          </w:p>
        </w:tc>
        <w:tc>
          <w:tcPr>
            <w:tcW w:w="0" w:type="auto"/>
            <w:vAlign w:val="center"/>
          </w:tcPr>
          <w:p>
            <w:pPr>
              <w:spacing w:before="0" w:after="0"/>
              <w:jc w:val="left"/>
            </w:pPr>
            <w:r>
              <w:rPr>
                <w:color w:val="1a202c"/>
                <w:sz w:val="22"/>
              </w:rPr>
              <w:t>1962</w:t>
            </w:r>
          </w:p>
        </w:tc>
        <w:tc>
          <w:tcPr>
            <w:tcW w:w="0" w:type="auto"/>
            <w:vAlign w:val="center"/>
          </w:tcPr>
          <w:p>
            <w:pPr>
              <w:spacing w:before="0" w:after="0"/>
              <w:jc w:val="left"/>
            </w:pPr>
            <w:r>
              <w:rPr>
                <w:color w:val="1a202c"/>
                <w:sz w:val="22"/>
              </w:rPr>
              <w:t>Advisory Committee</w:t>
            </w:r>
          </w:p>
        </w:tc>
      </w:tr>
      <w:tr>
        <w:trPr>
          <w:trHeight w:val="350" w:hRule="atLeast"/>
        </w:trPr>
        <w:tc>
          <w:tcPr>
            <w:tcW w:w="0" w:type="auto"/>
            <w:vAlign w:val="center"/>
          </w:tcPr>
          <w:p>
            <w:pPr>
              <w:spacing w:before="0" w:after="0"/>
              <w:jc w:val="left"/>
            </w:pPr>
            <w:r>
              <w:rPr>
                <w:color w:val="1a202c"/>
                <w:sz w:val="22"/>
              </w:rPr>
              <w:t>David Wiseman</w:t>
            </w:r>
          </w:p>
        </w:tc>
        <w:tc>
          <w:tcPr>
            <w:tcW w:w="0" w:type="auto"/>
            <w:vAlign w:val="center"/>
          </w:tcPr>
          <w:p>
            <w:pPr>
              <w:spacing w:before="0" w:after="0"/>
              <w:jc w:val="left"/>
            </w:pPr>
            <w:r>
              <w:rPr>
                <w:color w:val="1a202c"/>
                <w:sz w:val="22"/>
              </w:rPr>
              <w:t>1967</w:t>
            </w:r>
          </w:p>
        </w:tc>
        <w:tc>
          <w:tcPr>
            <w:tcW w:w="0" w:type="auto"/>
            <w:vAlign w:val="center"/>
          </w:tcPr>
          <w:p>
            <w:pPr>
              <w:spacing w:before="0" w:after="0"/>
              <w:jc w:val="left"/>
            </w:pPr>
            <w:r>
              <w:rPr>
                <w:color w:val="1a202c"/>
                <w:sz w:val="22"/>
              </w:rPr>
              <w:t>Advisory Committee</w:t>
            </w:r>
          </w:p>
        </w:tc>
      </w:tr>
      <w:tr>
        <w:trPr>
          <w:trHeight w:val="350" w:hRule="atLeast"/>
        </w:trPr>
        <w:tc>
          <w:tcPr>
            <w:tcW w:w="0" w:type="auto"/>
            <w:vAlign w:val="center"/>
          </w:tcPr>
          <w:p>
            <w:pPr>
              <w:spacing w:before="0" w:after="0"/>
              <w:jc w:val="left"/>
            </w:pPr>
            <w:r>
              <w:rPr>
                <w:color w:val="1a202c"/>
                <w:sz w:val="22"/>
              </w:rPr>
              <w:t>Steven Mnuchin</w:t>
            </w:r>
          </w:p>
        </w:tc>
        <w:tc>
          <w:tcPr>
            <w:tcW w:w="0" w:type="auto"/>
            <w:vAlign w:val="center"/>
          </w:tcPr>
          <w:p>
            <w:pPr>
              <w:spacing w:before="0" w:after="0"/>
              <w:jc w:val="left"/>
            </w:pPr>
            <w:r>
              <w:rPr>
                <w:color w:val="1a202c"/>
                <w:sz w:val="22"/>
              </w:rPr>
              <w:t>1985</w:t>
            </w:r>
          </w:p>
        </w:tc>
        <w:tc>
          <w:tcPr>
            <w:tcW w:w="0" w:type="auto"/>
            <w:vAlign w:val="center"/>
          </w:tcPr>
          <w:p>
            <w:pPr>
              <w:spacing w:before="0" w:after="0"/>
              <w:jc w:val="left"/>
            </w:pPr>
            <w:r>
              <w:rPr>
                <w:color w:val="1a202c"/>
                <w:sz w:val="22"/>
              </w:rPr>
              <w:t>Treasury Secretary (Trump)</w:t>
            </w:r>
          </w:p>
        </w:tc>
      </w:tr>
      <w:tr>
        <w:trPr>
          <w:trHeight w:val="350" w:hRule="atLeast"/>
        </w:trPr>
        <w:tc>
          <w:tcPr>
            <w:tcW w:w="0" w:type="auto"/>
            <w:vAlign w:val="center"/>
          </w:tcPr>
          <w:p>
            <w:pPr>
              <w:spacing w:before="0" w:after="0"/>
              <w:jc w:val="left"/>
            </w:pPr>
            <w:r>
              <w:rPr>
                <w:color w:val="1a202c"/>
                <w:sz w:val="22"/>
              </w:rPr>
              <w:t>Austan Goolsbee</w:t>
            </w:r>
          </w:p>
        </w:tc>
        <w:tc>
          <w:tcPr>
            <w:tcW w:w="0" w:type="auto"/>
            <w:vAlign w:val="center"/>
          </w:tcPr>
          <w:p>
            <w:pPr>
              <w:spacing w:before="0" w:after="0"/>
              <w:jc w:val="left"/>
            </w:pPr>
            <w:r>
              <w:rPr>
                <w:color w:val="1a202c"/>
                <w:sz w:val="22"/>
              </w:rPr>
              <w:t>1991</w:t>
            </w:r>
          </w:p>
        </w:tc>
        <w:tc>
          <w:tcPr>
            <w:tcW w:w="0" w:type="auto"/>
            <w:vAlign w:val="center"/>
          </w:tcPr>
          <w:p>
            <w:pPr>
              <w:spacing w:before="0" w:after="0"/>
              <w:jc w:val="left"/>
            </w:pPr>
            <w:r>
              <w:rPr>
                <w:color w:val="1a202c"/>
                <w:sz w:val="22"/>
              </w:rPr>
              <w:t>Economic Advisor (Obama)</w:t>
            </w:r>
          </w:p>
        </w:tc>
      </w:tr>
      <w:tr>
        <w:trPr>
          <w:trHeight w:val="350" w:hRule="atLeast"/>
        </w:trPr>
        <w:tc>
          <w:tcPr>
            <w:tcW w:w="0" w:type="auto"/>
            <w:vAlign w:val="center"/>
          </w:tcPr>
          <w:p>
            <w:pPr>
              <w:spacing w:before="0" w:after="0"/>
              <w:jc w:val="left"/>
            </w:pPr>
            <w:r>
              <w:rPr>
                <w:color w:val="1a202c"/>
                <w:sz w:val="22"/>
              </w:rPr>
              <w:t>James Boasberg</w:t>
            </w:r>
          </w:p>
        </w:tc>
        <w:tc>
          <w:tcPr>
            <w:tcW w:w="0" w:type="auto"/>
            <w:vAlign w:val="center"/>
          </w:tcPr>
          <w:p>
            <w:pPr>
              <w:spacing w:before="0" w:after="0"/>
              <w:jc w:val="left"/>
            </w:pPr>
            <w:r>
              <w:rPr>
                <w:color w:val="1a202c"/>
                <w:sz w:val="22"/>
              </w:rPr>
              <w:t>1985</w:t>
            </w:r>
          </w:p>
        </w:tc>
        <w:tc>
          <w:tcPr>
            <w:tcW w:w="0" w:type="auto"/>
            <w:vAlign w:val="center"/>
          </w:tcPr>
          <w:p>
            <w:pPr>
              <w:spacing w:before="0" w:after="0"/>
              <w:jc w:val="left"/>
            </w:pPr>
            <w:r>
              <w:rPr>
                <w:color w:val="1a202c"/>
                <w:sz w:val="22"/>
              </w:rPr>
              <w:t>Federal Judge</w:t>
            </w:r>
          </w:p>
        </w:tc>
      </w:tr>
      <w:tr>
        <w:trPr>
          <w:trHeight w:val="350" w:hRule="atLeast"/>
        </w:trPr>
        <w:tc>
          <w:tcPr>
            <w:tcW w:w="0" w:type="auto"/>
            <w:vAlign w:val="center"/>
          </w:tcPr>
          <w:p>
            <w:pPr>
              <w:spacing w:before="0" w:after="0"/>
              <w:jc w:val="left"/>
            </w:pPr>
            <w:r>
              <w:rPr>
                <w:color w:val="1a202c"/>
                <w:sz w:val="22"/>
              </w:rPr>
              <w:t>Rex Cowdry</w:t>
            </w:r>
          </w:p>
        </w:tc>
        <w:tc>
          <w:tcPr>
            <w:tcW w:w="0" w:type="auto"/>
            <w:vAlign w:val="center"/>
          </w:tcPr>
          <w:p>
            <w:pPr>
              <w:spacing w:before="0" w:after="0"/>
              <w:jc w:val="left"/>
            </w:pPr>
            <w:r>
              <w:rPr>
                <w:color w:val="1a202c"/>
                <w:sz w:val="22"/>
              </w:rPr>
              <w:t>1967</w:t>
            </w:r>
          </w:p>
        </w:tc>
        <w:tc>
          <w:tcPr>
            <w:tcW w:w="0" w:type="auto"/>
            <w:vAlign w:val="center"/>
          </w:tcPr>
          <w:p>
            <w:pPr>
              <w:spacing w:before="0" w:after="0"/>
              <w:jc w:val="left"/>
            </w:pPr>
            <w:r>
              <w:rPr>
                <w:color w:val="1a202c"/>
                <w:sz w:val="22"/>
              </w:rPr>
              <w:t>Health Care Commission</w:t>
            </w:r>
          </w:p>
        </w:tc>
      </w:tr>
      <w:tr>
        <w:trPr>
          <w:trHeight w:val="350" w:hRule="atLeast"/>
        </w:trPr>
        <w:tc>
          <w:tcPr>
            <w:tcW w:w="0" w:type="auto"/>
            <w:vAlign w:val="center"/>
          </w:tcPr>
          <w:p>
            <w:pPr>
              <w:spacing w:before="0" w:after="0"/>
              <w:jc w:val="left"/>
            </w:pPr>
            <w:r>
              <w:rPr>
                <w:color w:val="1a202c"/>
                <w:sz w:val="22"/>
              </w:rPr>
              <w:t>Andrew Klaber</w:t>
            </w:r>
          </w:p>
        </w:tc>
        <w:tc>
          <w:tcPr>
            <w:tcW w:w="0" w:type="auto"/>
            <w:vAlign w:val="center"/>
          </w:tcPr>
          <w:p>
            <w:pPr>
              <w:spacing w:before="0" w:after="0"/>
              <w:jc w:val="left"/>
            </w:pPr>
            <w:r>
              <w:rPr>
                <w:color w:val="1a202c"/>
                <w:sz w:val="22"/>
              </w:rPr>
              <w:t>1998</w:t>
            </w:r>
          </w:p>
        </w:tc>
        <w:tc>
          <w:tcPr>
            <w:tcW w:w="0" w:type="auto"/>
            <w:vAlign w:val="center"/>
          </w:tcPr>
          <w:p>
            <w:pPr>
              <w:spacing w:before="0" w:after="0"/>
              <w:jc w:val="left"/>
            </w:pPr>
            <w:r>
              <w:rPr>
                <w:color w:val="1a202c"/>
                <w:sz w:val="22"/>
              </w:rPr>
              <w:t>State Department</w:t>
            </w:r>
          </w:p>
        </w:tc>
      </w:tr>
    </w:tbl>
    <w:p>
      <w:pPr>
        <w:pStyle w:val="Heading3"/>
      </w:pPr>
      <w:r>
        <w:t>Supreme Court Justices</w:t>
      </w:r>
    </w:p>
    <w:p>
      <w:r>
        <w:t>At least two Chief Justices of the U.S. Supreme Court have been Bonesmen:</w:t>
      </w:r>
    </w:p>
    <w:p>
      <w:pPr>
        <w:spacing w:after="120"/>
        <w:ind w:left="720" w:hanging="360"/>
      </w:pPr>
      <w:r>
        <w:t>•  Morrison Remmick Waite (Bones 1837) - 7th Chief Justice (1874-1888)</w:t>
      </w:r>
    </w:p>
    <w:p>
      <w:pPr>
        <w:spacing w:after="120"/>
        <w:ind w:left="720" w:hanging="360"/>
      </w:pPr>
      <w:r>
        <w:t>•  William Howard Taft (Bones 1878) - 10th Chief Justice (1921-1930)</w:t>
      </w:r>
    </w:p>
    <w:p>
      <w:r>
        <w:t>Additionally, Potter Stewart (Bones 1937) served as Associate Justice of the Supreme Court from 1958 to 1981.</w:t>
      </w:r>
    </w:p>
    <w:p>
      <w:pPr>
        <w:pStyle w:val="Heading2"/>
      </w:pPr>
      <w:r>
        <w:t>SECTION 6: PENTAGON MISSING MONEY</w:t>
      </w:r>
    </w:p>
    <w:p>
      <w:pPr>
        <w:pStyle w:val="Heading3"/>
      </w:pPr>
      <w:r>
        <w:t>$21 Trillion Accounting Discrepancies</w:t>
      </w:r>
    </w:p>
    <w:p>
      <w:r>
        <w:t>Between 1998 and 2015, the Pentagon lost track of $21 trillion in financial transactions - equivalent to nearly the entire U.S. gross domestic product. This was first reported by investigative journalist Dave Lindorff in The Nation based on interviews with current and former government officials.</w:t>
      </w:r>
    </w:p>
    <w:p>
      <w:r>
        <w:t>According to economist Mark Skidmore and former Assistant Secretary of Housing Catherine Austin Fitts, by 2021 the total undocumentable transactions had grown to $94.7 trillion. In fiscal year 2019 alone, with a DOD budget of $738 billion, the Pentagon reported $35 trillion in accounting adjustments.</w:t>
      </w:r>
    </w:p>
    <w:p>
      <w:r>
        <w:rPr>
          <w:b/>
        </w:rPr>
        <w:t>Key Statistic: </w:t>
      </w:r>
      <w:r>
        <w:t>Every dollar of the $369 billion in non-salary spending would have to have been counted 94 times to justify $35 trillion in accounting adjustments.</w:t>
      </w:r>
    </w:p>
    <w:p>
      <w:pPr>
        <w:pStyle w:val="Heading3"/>
      </w:pPr>
      <w:r>
        <w:t>DOD Audit Failures</w:t>
      </w:r>
    </w:p>
    <w:p>
      <w:r>
        <w:t>The Department of Defense remains the only federal agency unable to pass an independent audit. Despite controlling assets exceeding $3.1 trillion (78% of the entire federal government), the Pentagon has failed every audit since the first agency-wide audit in 2018.</w:t>
      </w:r>
    </w:p>
    <w:p>
      <w:r>
        <w:t>Senator Chuck Grassley criticized the DOD for "26 years of hard-core foot-dragging" that "shows that internal resistance to auditing the books runs deep." Officials now claim the agency won't pass an audit until 2027 at the earliest.</w:t>
      </w:r>
    </w:p>
    <w:p>
      <w:pPr>
        <w:pStyle w:val="Heading3"/>
      </w:pPr>
      <w:r>
        <w:t>Rumsfeld's Admission - September 10, 2001</w:t>
      </w:r>
    </w:p>
    <w:p>
      <w:r>
        <w:t>On September 10, 2001, Secretary of Defense Donald Rumsfeld made a stunning admission:</w:t>
      </w:r>
    </w:p>
    <w:p>
      <w:pPr>
        <w:spacing w:before="200" w:after="200"/>
        <w:ind w:left="720"/>
      </w:pPr>
      <w:r>
        <w:rPr>
          <w:i/>
        </w:rPr>
        <w:t>"According to some estimates, we cannot track $2.3 trillion in transactions."</w:t>
      </w:r>
    </w:p>
    <w:p>
      <w:r>
        <w:t>Rumsfeld described the money wasted by the military as "a matter of life and death." This announcement was completely overshadowed by the events of September 11, 2001, the following day.</w:t>
      </w:r>
    </w:p>
    <w:p>
      <w:pPr>
        <w:pStyle w:val="Heading3"/>
      </w:pPr>
      <w:r>
        <w:t>Bonesmen Connection</w:t>
      </w:r>
    </w:p>
    <w:p>
      <w:r>
        <w:t>During the periods when the Pentagon's accounting discrepancies occurred, multiple Bonesmen held key positions in government:</w:t>
      </w:r>
    </w:p>
    <w:p>
      <w:pPr>
        <w:spacing w:after="120"/>
        <w:ind w:left="720" w:hanging="360"/>
      </w:pPr>
      <w:r>
        <w:t>•  George H.W. Bush (Bones 1948) - President during early missing funds period</w:t>
      </w:r>
    </w:p>
    <w:p>
      <w:pPr>
        <w:spacing w:after="120"/>
        <w:ind w:left="720" w:hanging="360"/>
      </w:pPr>
      <w:r>
        <w:t>•  George W. Bush (Bones 1968) - President during $21 trillion discrepancy period</w:t>
      </w:r>
    </w:p>
    <w:p>
      <w:pPr>
        <w:spacing w:after="120"/>
        <w:ind w:left="720" w:hanging="360"/>
      </w:pPr>
      <w:r>
        <w:t>•  Numerous Bonesmen in Defense Department, Treasury, and intelligence positions</w:t>
      </w:r>
    </w:p>
    <w:p>
      <w:r>
        <w:t>The concentration of Bonesmen in positions overseeing military spending, combined with the unprecedented scale of accounting failures, warrants serious investigation into potential coordination between secret society membership and financial misconduct.</w:t>
      </w:r>
    </w:p>
    <w:p>
      <w:pPr>
        <w:pStyle w:val="Heading2"/>
      </w:pPr>
      <w:r>
        <w:t>SECTION 7: SECRET RITUALS AND BLACKMAIL SYSTEMS</w:t>
      </w:r>
    </w:p>
    <w:p>
      <w:pPr>
        <w:pStyle w:val="Heading3"/>
      </w:pPr>
      <w:r>
        <w:t>Initiation Ceremonies</w:t>
      </w:r>
    </w:p>
    <w:p>
      <w:r>
        <w:t>New members undergo an initiation ritual known as the "rebirthing" ceremony. Key elements include:</w:t>
      </w:r>
    </w:p>
    <w:p>
      <w:pPr>
        <w:spacing w:after="120"/>
        <w:ind w:left="720" w:hanging="360"/>
      </w:pPr>
      <w:r>
        <w:t>•  Lying naked in a coffin while revealing their entire sexual history in frank detail</w:t>
      </w:r>
    </w:p>
    <w:p>
      <w:pPr>
        <w:spacing w:after="120"/>
        <w:ind w:left="720" w:hanging="360"/>
      </w:pPr>
      <w:r>
        <w:t>•  Swearing lifetime loyalty oaths to fellow Bonesmen</w:t>
      </w:r>
    </w:p>
    <w:p>
      <w:pPr>
        <w:spacing w:after="120"/>
        <w:ind w:left="720" w:hanging="360"/>
      </w:pPr>
      <w:r>
        <w:t>•  Being assigned nicknames taken from famous literary characters</w:t>
      </w:r>
    </w:p>
    <w:p>
      <w:pPr>
        <w:spacing w:after="120"/>
        <w:ind w:left="720" w:hanging="360"/>
      </w:pPr>
      <w:r>
        <w:t>•  Participating in rituals worshipping "Eulogia," an invented goddess of speech and eloquence</w:t>
      </w:r>
    </w:p>
    <w:p>
      <w:r>
        <w:t>The organization did not accept female members until 1991, maintaining nearly 160 years as an exclusively male secret society.</w:t>
      </w:r>
    </w:p>
    <w:p>
      <w:pPr>
        <w:pStyle w:val="Heading3"/>
      </w:pPr>
      <w:r>
        <w:t>The 322 Room</w:t>
      </w:r>
    </w:p>
    <w:p>
      <w:r>
        <w:t>The society's headquarters at 64 High Street contains a room designated "322" where secret meetings and rituals take place. The room's contents and activities remain strictly confidential, with members bound by lifetime secrecy oaths.</w:t>
      </w:r>
    </w:p>
    <w:p>
      <w:pPr>
        <w:pStyle w:val="Heading3"/>
      </w:pPr>
      <w:r>
        <w:t>Deer Island Retreat</w:t>
      </w:r>
    </w:p>
    <w:p>
      <w:r>
        <w:t>Members spend a week in late summer at Deer Island, the society's private island retreat. Activities include bonding exercises, strategic discussions, and reinforcement of loyalty obligations. The 2019 retreat reportedly ended after younger members confronted George W. Bush about racism and war crimes, causing him to discontinue the tradition.</w:t>
      </w:r>
    </w:p>
    <w:p>
      <w:pPr>
        <w:pStyle w:val="Heading3"/>
      </w:pPr>
      <w:r>
        <w:t>Blackmail Leverage System</w:t>
      </w:r>
    </w:p>
    <w:p>
      <w:r>
        <w:t>The requirement that members reveal their entire sexual history during initiation creates a powerful blackmail leverage system. This information, held in strict secrecy by the organization, provides lifelong control over members who achieve positions of power in government, business, or intelligence.</w:t>
      </w:r>
    </w:p>
    <w:p>
      <w:r>
        <w:t>The society promises members "lifelong financial stability" in exchange for maintaining silence about the organization's workings. This effectively buys the silence of members who might otherwise expose illegal or unethical activities.</w:t>
      </w:r>
    </w:p>
    <w:p>
      <w:pPr>
        <w:pStyle w:val="Heading3"/>
      </w:pPr>
      <w:r>
        <w:t>Hegelian Dialectic Manipulation</w:t>
      </w:r>
    </w:p>
    <w:p>
      <w:r>
        <w:t>The organization employs Hegelian dialectic principles - creating problems (thesis), controlling reactions (antithesis), and offering predetermined solutions (synthesis). This is evident in:</w:t>
      </w:r>
    </w:p>
    <w:p>
      <w:pPr>
        <w:spacing w:after="120"/>
        <w:ind w:left="720" w:hanging="360"/>
      </w:pPr>
      <w:r>
        <w:t>•  The 2004 election featuring two Bonesmen as opposing candidates</w:t>
      </w:r>
    </w:p>
    <w:p>
      <w:pPr>
        <w:spacing w:after="120"/>
        <w:ind w:left="720" w:hanging="360"/>
      </w:pPr>
      <w:r>
        <w:t>•  Placement of members in both government and opposition roles</w:t>
      </w:r>
    </w:p>
    <w:p>
      <w:pPr>
        <w:spacing w:after="120"/>
        <w:ind w:left="720" w:hanging="360"/>
      </w:pPr>
      <w:r>
        <w:t>•  Control of both conservative (William F. Buckley) and liberal (John Kerry) political movements</w:t>
      </w:r>
    </w:p>
    <w:p>
      <w:pPr>
        <w:pStyle w:val="Heading2"/>
      </w:pPr>
      <w:r>
        <w:t>SECTION 8: CRIMES AGAINST HUMANITY</w:t>
      </w:r>
    </w:p>
    <w:p>
      <w:r>
        <w:t>Based on the evidence presented in this audit, the following crimes against humanity can be attributed to the Order 322 (Skull and Bones) organization and its members:</w:t>
      </w:r>
    </w:p>
    <w:p>
      <w:pPr>
        <w:pStyle w:val="Heading3"/>
      </w:pPr>
      <w:r>
        <w:t>1. Financing Nazi Germany and War Crimes</w:t>
      </w:r>
    </w:p>
    <w:p>
      <w:r>
        <w:t>Prescott Bush, George Herbert Walker, and their associates at Brown Brothers Harriman and Union Banking Corporation provided financial support to Nazi Germany through:</w:t>
      </w:r>
    </w:p>
    <w:p>
      <w:pPr>
        <w:spacing w:after="120"/>
        <w:ind w:left="720" w:hanging="360"/>
      </w:pPr>
      <w:r>
        <w:t>•  Transferring funds, bonds, gold, coal, oil, and steel to Nazi Germany during its military buildup</w:t>
      </w:r>
    </w:p>
    <w:p>
      <w:pPr>
        <w:spacing w:after="120"/>
        <w:ind w:left="720" w:hanging="360"/>
      </w:pPr>
      <w:r>
        <w:t>•  Managing assets for Fritz Thyssen, primary financier of Hitler's rise to power</w:t>
      </w:r>
    </w:p>
    <w:p>
      <w:pPr>
        <w:spacing w:after="120"/>
        <w:ind w:left="720" w:hanging="360"/>
      </w:pPr>
      <w:r>
        <w:t>•  Operating shell companies to hide Nazi assets in the United States</w:t>
      </w:r>
    </w:p>
    <w:p>
      <w:pPr>
        <w:spacing w:after="120"/>
        <w:ind w:left="720" w:hanging="360"/>
      </w:pPr>
      <w:r>
        <w:t>•  Continuing business relationships after the U.S. entered World War II</w:t>
      </w:r>
    </w:p>
    <w:p>
      <w:r>
        <w:t>These activities directly supported the Nazi war machine, including the use of slave labor from concentration camps at Auschwitz through connections to Consolidated Silesian Steel Company.</w:t>
      </w:r>
    </w:p>
    <w:p>
      <w:pPr>
        <w:pStyle w:val="Heading3"/>
      </w:pPr>
      <w:r>
        <w:t>2. Illegal CIA Covert Operations</w:t>
      </w:r>
    </w:p>
    <w:p>
      <w:r>
        <w:t>Bonesmen in CIA positions participated in or directed illegal operations including:</w:t>
      </w:r>
    </w:p>
    <w:p>
      <w:pPr>
        <w:spacing w:after="120"/>
        <w:ind w:left="720" w:hanging="360"/>
      </w:pPr>
      <w:r>
        <w:t>•  Overthrow of democratically elected governments (Chile 1973, Iran 1953, Guatemala 1954)</w:t>
      </w:r>
    </w:p>
    <w:p>
      <w:pPr>
        <w:spacing w:after="120"/>
        <w:ind w:left="720" w:hanging="360"/>
      </w:pPr>
      <w:r>
        <w:t>•  MKUltra mind control experiments on unwitting human subjects</w:t>
      </w:r>
    </w:p>
    <w:p>
      <w:pPr>
        <w:spacing w:after="120"/>
        <w:ind w:left="720" w:hanging="360"/>
      </w:pPr>
      <w:r>
        <w:t>•  Phoenix Program assassinations and torture in Vietnam</w:t>
      </w:r>
    </w:p>
    <w:p>
      <w:pPr>
        <w:spacing w:after="120"/>
        <w:ind w:left="720" w:hanging="360"/>
      </w:pPr>
      <w:r>
        <w:t>•  Iran-Contra arms sales and funding of illegal wars</w:t>
      </w:r>
    </w:p>
    <w:p>
      <w:pPr>
        <w:spacing w:after="120"/>
        <w:ind w:left="720" w:hanging="360"/>
      </w:pPr>
      <w:r>
        <w:t>•  Operation Gladio stay-behind networks in Europe</w:t>
      </w:r>
    </w:p>
    <w:p>
      <w:pPr>
        <w:pStyle w:val="Heading3"/>
      </w:pPr>
      <w:r>
        <w:t>3. War Crimes and Torture</w:t>
      </w:r>
    </w:p>
    <w:p>
      <w:r>
        <w:t>Under the George W. Bush administration, multiple Bonesmen participated in or enabled:</w:t>
      </w:r>
    </w:p>
    <w:p>
      <w:pPr>
        <w:spacing w:after="120"/>
        <w:ind w:left="720" w:hanging="360"/>
      </w:pPr>
      <w:r>
        <w:t>•  Illegal invasion of Iraq based on false intelligence</w:t>
      </w:r>
    </w:p>
    <w:p>
      <w:pPr>
        <w:spacing w:after="120"/>
        <w:ind w:left="720" w:hanging="360"/>
      </w:pPr>
      <w:r>
        <w:t>•  CIA torture program (enhanced interrogation techniques)</w:t>
      </w:r>
    </w:p>
    <w:p>
      <w:pPr>
        <w:spacing w:after="120"/>
        <w:ind w:left="720" w:hanging="360"/>
      </w:pPr>
      <w:r>
        <w:t>•  Extraordinary rendition and secret prisons</w:t>
      </w:r>
    </w:p>
    <w:p>
      <w:pPr>
        <w:spacing w:after="120"/>
        <w:ind w:left="720" w:hanging="360"/>
      </w:pPr>
      <w:r>
        <w:t>•  Guantanamo Bay indefinite detention without trial</w:t>
      </w:r>
    </w:p>
    <w:p>
      <w:pPr>
        <w:spacing w:after="120"/>
        <w:ind w:left="720" w:hanging="360"/>
      </w:pPr>
      <w:r>
        <w:t>•  Abu Ghraib prisoner abuse</w:t>
      </w:r>
    </w:p>
    <w:p>
      <w:pPr>
        <w:pStyle w:val="Heading3"/>
      </w:pPr>
      <w:r>
        <w:t>4. Financial Crimes and Embezzlement</w:t>
      </w:r>
    </w:p>
    <w:p>
      <w:r>
        <w:t>The Pentagon's inability to account for $21-94.7 trillion in transactions during periods when Bonesmen held key government positions represents potential systemic embezzlement:</w:t>
      </w:r>
    </w:p>
    <w:p>
      <w:pPr>
        <w:spacing w:after="120"/>
        <w:ind w:left="720" w:hanging="360"/>
      </w:pPr>
      <w:r>
        <w:t>•  $21 trillion undocumented transactions (1998-2015)</w:t>
      </w:r>
    </w:p>
    <w:p>
      <w:pPr>
        <w:spacing w:after="120"/>
        <w:ind w:left="720" w:hanging="360"/>
      </w:pPr>
      <w:r>
        <w:t>•  $94.7 trillion total accounting discrepancies (by 2021)</w:t>
      </w:r>
    </w:p>
    <w:p>
      <w:pPr>
        <w:spacing w:after="120"/>
        <w:ind w:left="720" w:hanging="360"/>
      </w:pPr>
      <w:r>
        <w:t>•  $35 trillion in single-year adjustments (FY2019)</w:t>
      </w:r>
    </w:p>
    <w:p>
      <w:pPr>
        <w:spacing w:after="120"/>
        <w:ind w:left="720" w:hanging="360"/>
      </w:pPr>
      <w:r>
        <w:t>•  Continued DOD audit failures with no accountability</w:t>
      </w:r>
    </w:p>
    <w:p>
      <w:pPr>
        <w:pStyle w:val="Heading3"/>
      </w:pPr>
      <w:r>
        <w:t>5. Subversion of Democratic Processes</w:t>
      </w:r>
    </w:p>
    <w:p>
      <w:r>
        <w:t>The placement of Bonesmen in both major political parties and all branches of government represents a subversion of democratic representation:</w:t>
      </w:r>
    </w:p>
    <w:p>
      <w:pPr>
        <w:spacing w:after="120"/>
        <w:ind w:left="720" w:hanging="360"/>
      </w:pPr>
      <w:r>
        <w:t>•  2004 election featuring two Bonesmen as only viable candidates</w:t>
      </w:r>
    </w:p>
    <w:p>
      <w:pPr>
        <w:spacing w:after="120"/>
        <w:ind w:left="720" w:hanging="360"/>
      </w:pPr>
      <w:r>
        <w:t>•  Lifetime loyalty oaths superseding constitutional oaths</w:t>
      </w:r>
    </w:p>
    <w:p>
      <w:pPr>
        <w:spacing w:after="120"/>
        <w:ind w:left="720" w:hanging="360"/>
      </w:pPr>
      <w:r>
        <w:t>•  Secret society coordination of government policy</w:t>
      </w:r>
    </w:p>
    <w:p>
      <w:pPr>
        <w:spacing w:after="120"/>
        <w:ind w:left="720" w:hanging="360"/>
      </w:pPr>
      <w:r>
        <w:t>•  Blackmail leverage through sexual history disclosure</w:t>
      </w:r>
    </w:p>
    <w:p>
      <w:pPr>
        <w:pStyle w:val="Heading3"/>
      </w:pPr>
      <w:r>
        <w:t>6. Crimes Against Peace</w:t>
      </w:r>
    </w:p>
    <w:p>
      <w:r>
        <w:t>The initiation of aggressive wars in violation of international law:</w:t>
      </w:r>
    </w:p>
    <w:p>
      <w:pPr>
        <w:spacing w:after="120"/>
        <w:ind w:left="720" w:hanging="360"/>
      </w:pPr>
      <w:r>
        <w:t>•  Iraq War (2003) - based on false WMD intelligence</w:t>
      </w:r>
    </w:p>
    <w:p>
      <w:pPr>
        <w:spacing w:after="120"/>
        <w:ind w:left="720" w:hanging="360"/>
      </w:pPr>
      <w:r>
        <w:t>•  Vietnam escalation - under Bonesmen advisors</w:t>
      </w:r>
    </w:p>
    <w:p>
      <w:pPr>
        <w:spacing w:after="120"/>
        <w:ind w:left="720" w:hanging="360"/>
      </w:pPr>
      <w:r>
        <w:t>•  Multiple CIA-backed coups causing mass casualties</w:t>
      </w:r>
    </w:p>
    <w:p>
      <w:pPr>
        <w:spacing w:after="120"/>
        <w:ind w:left="720" w:hanging="360"/>
      </w:pPr>
      <w:r>
        <w:t>•  Support for authoritarian regimes committing human rights abuses</w:t>
      </w:r>
    </w:p>
    <w:p>
      <w:pPr>
        <w:pStyle w:val="Heading1"/>
      </w:pPr>
      <w:r>
        <w:t>PART III: CRIMINAL PERSON PROFILES</w:t>
      </w:r>
    </w:p>
    <w:p>
      <w:pPr>
        <w:spacing w:after="400"/>
        <w:jc w:val="center"/>
      </w:pPr>
      <w:r>
        <w:t>SUPPLEMENT: CRIMINAL PERSON PROFILES - As of February 28, 2026</w:t>
      </w:r>
    </w:p>
    <w:p>
      <w:pPr>
        <w:shd w:val="clear" w:fill="fed7d7"/>
        <w:spacing w:after="200"/>
        <w:jc w:val="center"/>
      </w:pPr>
      <w:r>
        <w:rPr>
          <w:b/>
          <w:color w:val="c53030"/>
        </w:rPr>
        <w:t>CLASSIFICATION: OPEN SOURCE INTELLIGENCE // LAW ENFORCEMENT SENSITIVE</w:t>
      </w:r>
    </w:p>
    <w:p>
      <w:pPr>
        <w:pStyle w:val="Heading2"/>
      </w:pPr>
      <w:r>
        <w:t>EXECUTIVE SUMMARY</w:t>
      </w:r>
    </w:p>
    <w:p>
      <w:r>
        <w:t>This supplemental forensic audit document provides comprehensive criminal profiles of all persons connected to Order 322 (Skull and Bones) and their associated crimes against humanity, financial crimes, war crimes, and violations of international law. This analysis is current as of February 28, 2026.</w:t>
      </w:r>
    </w:p>
    <w:p>
      <w:r>
        <w:t>Key findings from the February 2026 Investigative Dossier confirm that the Russell Trust Association (RTA) constitutes an ongoing criminal enterprise under 18 U.S.C. Section 1961 et seq. (RICO), with documented diversion of over $115 trillion in undocumented Department of Defense expenditures between FY 2017 and FY 2025.</w:t>
      </w:r>
    </w:p>
    <w:p>
      <w:pPr>
        <w:pStyle w:val="Heading3"/>
      </w:pPr>
      <w:r>
        <w:t>Key Judgments</w:t>
      </w:r>
    </w:p>
    <w:p>
      <w:pPr>
        <w:spacing w:after="120"/>
        <w:ind w:left="720" w:hanging="360"/>
      </w:pPr>
      <w:r>
        <w:t>•  Institutional Capture: The enterprise has successfully captured key state institutions (Treasury, Federal Reserve, CIA, DOD) to facilitate systematic fraud.</w:t>
      </w:r>
    </w:p>
    <w:p>
      <w:pPr>
        <w:spacing w:after="120"/>
        <w:ind w:left="720" w:hanging="360"/>
      </w:pPr>
      <w:r>
        <w:t>•  Ongoing Operations: Active leadership by Austan Goolsbee (Bones 1991, President of Federal Reserve Bank of Chicago) and Andrew Klaber (RTA Board Chair) ensures the enterprise remains active, restarting the RICO statute of limitations.</w:t>
      </w:r>
    </w:p>
    <w:p>
      <w:pPr>
        <w:spacing w:after="120"/>
        <w:ind w:left="720" w:hanging="360"/>
      </w:pPr>
      <w:r>
        <w:t>•  Financial Infrastructure: Brown Brothers Harriman (BBH) serves as the primary financial vehicle, with documented history of anti-money laundering violations.</w:t>
      </w:r>
    </w:p>
    <w:p>
      <w:pPr>
        <w:pStyle w:val="Heading2"/>
      </w:pPr>
      <w:r>
        <w:t>SECTION I: CURRENT RTA LEADERSHIP - ACTIVE CRIMINAL ENTERPRISE</w:t>
      </w:r>
    </w:p>
    <w:p>
      <w:pPr>
        <w:pStyle w:val="Heading3"/>
      </w:pPr>
      <w:r>
        <w:t>1. AUSTAN GOOLSBEE</w:t>
      </w:r>
    </w:p>
    <w:p>
      <w:r>
        <w:rPr>
          <w:b/>
        </w:rPr>
        <w:t>Bones Cohort: 1991</w:t>
      </w:r>
    </w:p>
    <w:p>
      <w:r>
        <w:rPr>
          <w:b/>
        </w:rPr>
        <w:t>Current Position: President, Federal Reserve Bank of Chicago (since December 2022)</w:t>
      </w:r>
    </w:p>
    <w:p>
      <w:r>
        <w:rPr>
          <w:b/>
        </w:rPr>
        <w:t>RTA Role: Active Leadership, Ongoing Criminal Enterprise Operations</w:t>
      </w:r>
    </w:p>
    <w:p>
      <w:r>
        <w:rPr>
          <w:b/>
        </w:rPr>
        <w:t>Alleged Crimes:</w:t>
      </w:r>
    </w:p>
    <w:p>
      <w:pPr>
        <w:spacing w:after="120"/>
        <w:ind w:left="720" w:hanging="360"/>
      </w:pPr>
      <w:r>
        <w:t>•  RICO Conspiracy (18 U.S.C. Section 1962): As current Bones leadership, provides overt acts necessary for RICO prosecution by maintaining institutional control over Federal Reserve operations.</w:t>
      </w:r>
    </w:p>
    <w:p>
      <w:pPr>
        <w:spacing w:after="120"/>
        <w:ind w:left="720" w:hanging="360"/>
      </w:pPr>
      <w:r>
        <w:t>•  Conspiracy to Defraud the United States (18 U.S.C. Section 371): Facilitation of $115+ trillion in undocumented DOD expenditures through institutional capture.</w:t>
      </w:r>
    </w:p>
    <w:p>
      <w:pPr>
        <w:spacing w:after="120"/>
        <w:ind w:left="720" w:hanging="360"/>
      </w:pPr>
      <w:r>
        <w:t>•  Conflict of Interest: Simultaneous service as Federal Reserve Bank President while maintaining lifelong secret oath to Order 322, creating irreconcilable conflict with constitutional oath.</w:t>
      </w:r>
    </w:p>
    <w:p>
      <w:r>
        <w:rPr>
          <w:b/>
        </w:rPr>
        <w:t>Evidence:</w:t>
      </w:r>
    </w:p>
    <w:p>
      <w:r>
        <w:t>According to the February 4, 2026 Investigative Dossier by Marie-Soleil Seshat Landry, Goolsbee's position as Chicago Fed President provides the overt acts necessary to establish continuity of the criminal enterprise under RICO statutes. His public statements regarding Fed independence (January 15, 2026) demonstrate awareness of criminal exposure while maintaining institutional control.</w:t>
      </w:r>
    </w:p>
    <w:p>
      <w:pPr>
        <w:pStyle w:val="Heading3"/>
      </w:pPr>
      <w:r>
        <w:t>2. ANDREW KLABER</w:t>
      </w:r>
    </w:p>
    <w:p>
      <w:r>
        <w:rPr>
          <w:b/>
        </w:rPr>
        <w:t>Bones Cohort: Unknown</w:t>
      </w:r>
    </w:p>
    <w:p>
      <w:r>
        <w:rPr>
          <w:b/>
        </w:rPr>
        <w:t>Current Position: Russell Trust Association Board Chair</w:t>
      </w:r>
    </w:p>
    <w:p>
      <w:r>
        <w:rPr>
          <w:b/>
        </w:rPr>
        <w:t>RTA Role: Corporate Governance of Criminal Enterprise</w:t>
      </w:r>
    </w:p>
    <w:p>
      <w:r>
        <w:rPr>
          <w:b/>
        </w:rPr>
        <w:t>Alleged Crimes:</w:t>
      </w:r>
    </w:p>
    <w:p>
      <w:pPr>
        <w:spacing w:after="120"/>
        <w:ind w:left="720" w:hanging="360"/>
      </w:pPr>
      <w:r>
        <w:t>•  RICO Leadership (18 U.S.C. Section 1962(c)): Direct oversight of RTA as corporate vehicle for ongoing racketeering activities.</w:t>
      </w:r>
    </w:p>
    <w:p>
      <w:pPr>
        <w:spacing w:after="120"/>
        <w:ind w:left="720" w:hanging="360"/>
      </w:pPr>
      <w:r>
        <w:t>•  Money Laundering Conspiracy (18 U.S.C. Section 1956): Oversight of financial infrastructure facilitating undocumented fund movements.</w:t>
      </w:r>
    </w:p>
    <w:p>
      <w:pPr>
        <w:spacing w:after="120"/>
        <w:ind w:left="720" w:hanging="360"/>
      </w:pPr>
      <w:r>
        <w:t>•  Tax Evasion (26 U.S.C. Section 7201): RTA's special exemption from Connecticut corporate reporting requirements (granted 1943) used to shield financial activities.</w:t>
      </w:r>
    </w:p>
    <w:p>
      <w:pPr>
        <w:pStyle w:val="Heading2"/>
      </w:pPr>
      <w:r>
        <w:t>SECTION II: BUSH FAMILY DYNASTY - MULTI-GENERATIONAL CRIMINAL ENTERPRISE</w:t>
      </w:r>
    </w:p>
    <w:p>
      <w:pPr>
        <w:pStyle w:val="Heading3"/>
      </w:pPr>
      <w:r>
        <w:t>3. PRESCOTT BUSH (DECEASED)</w:t>
      </w:r>
    </w:p>
    <w:p>
      <w:r>
        <w:rPr>
          <w:b/>
        </w:rPr>
        <w:t>Bones Cohort: 1917</w:t>
      </w:r>
    </w:p>
    <w:p>
      <w:r>
        <w:rPr>
          <w:b/>
        </w:rPr>
        <w:t>Former Positions: U.S. Senator (Connecticut), Partner Brown Brothers Harriman</w:t>
      </w:r>
    </w:p>
    <w:p>
      <w:r>
        <w:rPr>
          <w:b/>
        </w:rPr>
        <w:t>Status: Deceased (October 8, 1972)</w:t>
      </w:r>
    </w:p>
    <w:p>
      <w:r>
        <w:rPr>
          <w:b/>
        </w:rPr>
        <w:t>Documented Crimes:</w:t>
      </w:r>
    </w:p>
    <w:p>
      <w:pPr>
        <w:spacing w:after="120"/>
        <w:ind w:left="720" w:hanging="360"/>
      </w:pPr>
      <w:r>
        <w:t>•  Trading with the Enemy Act Violations (50 U.S.C. App. Section 1 et seq.): Director of Union Banking Corporation (UBC), seized October 20, 1942 under Vesting Order 248 for Nazi financing.</w:t>
      </w:r>
    </w:p>
    <w:p>
      <w:pPr>
        <w:spacing w:after="120"/>
        <w:ind w:left="720" w:hanging="360"/>
      </w:pPr>
      <w:r>
        <w:t>•  Treason (18 U.S.C. Section 2381): Providing aid and comfort to Nazi Germany during time of war through financial infrastructure.</w:t>
      </w:r>
    </w:p>
    <w:p>
      <w:pPr>
        <w:spacing w:after="120"/>
        <w:ind w:left="720" w:hanging="360"/>
      </w:pPr>
      <w:r>
        <w:t>•  Crimes Against Humanity (18 U.S.C. Section 2441): Profits derived from Consolidated Silesian Steel Company operations using Auschwitz slave labor.</w:t>
      </w:r>
    </w:p>
    <w:p>
      <w:pPr>
        <w:spacing w:after="120"/>
        <w:ind w:left="720" w:hanging="360"/>
      </w:pPr>
      <w:r>
        <w:t>•  Grave Desecration: Alleged theft of Apache leader Geronimo's skull from Fort Sill, Oklahoma (May 1918), documented in 1918 Skull and Bones logbook.</w:t>
      </w:r>
    </w:p>
    <w:p>
      <w:r>
        <w:rPr>
          <w:b/>
        </w:rPr>
        <w:t>Evidence:</w:t>
      </w:r>
    </w:p>
    <w:p>
      <w:r>
        <w:t>National Archives Vesting Order 248 (October 20, 1942) seized UBC assets as enemy property. According to former U.S. Nazi war crimes prosecutor John Loftus, Bush's actions constituted grounds for prosecution for giving aid and comfort to the enemy. The Guardian investigation (September 25, 2004) confirmed Bush remained director after U.S. entry into WWII. Civil action for damages filed in Germany by Auschwitz survivors (2003) alleged profits derived from slave labor.</w:t>
      </w:r>
    </w:p>
    <w:p>
      <w:pPr>
        <w:pStyle w:val="Heading3"/>
      </w:pPr>
      <w:r>
        <w:t>4. GEORGE HERBERT WALKER BUSH (DECEASED)</w:t>
      </w:r>
    </w:p>
    <w:p>
      <w:r>
        <w:rPr>
          <w:b/>
        </w:rPr>
        <w:t>Bones Cohort: 1948</w:t>
      </w:r>
    </w:p>
    <w:p>
      <w:r>
        <w:rPr>
          <w:b/>
        </w:rPr>
        <w:t>Former Positions: 41st U.S. President, CIA Director, Vice President</w:t>
      </w:r>
    </w:p>
    <w:p>
      <w:r>
        <w:rPr>
          <w:b/>
        </w:rPr>
        <w:t>Status: Deceased (November 30, 2018)</w:t>
      </w:r>
    </w:p>
    <w:p>
      <w:r>
        <w:rPr>
          <w:b/>
        </w:rPr>
        <w:t>Documented Crimes:</w:t>
      </w:r>
    </w:p>
    <w:p>
      <w:pPr>
        <w:spacing w:after="120"/>
        <w:ind w:left="720" w:hanging="360"/>
      </w:pPr>
      <w:r>
        <w:t>•  War Crimes (18 U.S.C. Section 2441): Authorization of Panama invasion (Operation Just Cause, 1989) resulting in estimated 3,000+ civilian deaths.</w:t>
      </w:r>
    </w:p>
    <w:p>
      <w:pPr>
        <w:spacing w:after="120"/>
        <w:ind w:left="720" w:hanging="360"/>
      </w:pPr>
      <w:r>
        <w:t>•  Crimes Against Humanity: Gulf War (1991) bombing of civilian infrastructure including water treatment facilities, resulting in estimated 500,000+ Iraqi child deaths from sanctions and disease.</w:t>
      </w:r>
    </w:p>
    <w:p>
      <w:pPr>
        <w:spacing w:after="120"/>
        <w:ind w:left="720" w:hanging="360"/>
      </w:pPr>
      <w:r>
        <w:t>•  CIA Drug Trafficking Conspiracy: As CIA Director (1976-1977), oversight of operations later documented to involve narcotics trafficking. FBI memo (July 1988) from Director J. Edgar Hoover identified "Mr. George Bush of the Central Intelligence Agency" as providing information about anti-Castro Cubans following JFK assassination.</w:t>
      </w:r>
    </w:p>
    <w:p>
      <w:pPr>
        <w:spacing w:after="120"/>
        <w:ind w:left="720" w:hanging="360"/>
      </w:pPr>
      <w:r>
        <w:t>•  Iran-Contra Affair: Knowledge of illegal arms-for-hostages transactions, pardoned co-conspirators to obstruct investigation.</w:t>
      </w:r>
    </w:p>
    <w:p>
      <w:r>
        <w:rPr>
          <w:b/>
        </w:rPr>
        <w:t>Evidence:</w:t>
      </w:r>
    </w:p>
    <w:p>
      <w:r>
        <w:t>Former Green Beret William Tyree filed $63 million federal lawsuit (1998) alleging Bush, CIA, and others used U.S. military personnel to assist arms and drug trafficking. Tyree's wife Elaine, working for Army Criminal Investigation Division, was found beheaded after keeping diaries of these operations. The Nation published FBI Director Hoover's memo confirming Bush's CIA role in 1963.</w:t>
      </w:r>
    </w:p>
    <w:p>
      <w:pPr>
        <w:pStyle w:val="Heading3"/>
      </w:pPr>
      <w:r>
        <w:t>5. GEORGE WALKER BUSH</w:t>
      </w:r>
    </w:p>
    <w:p>
      <w:r>
        <w:rPr>
          <w:b/>
        </w:rPr>
        <w:t>Bones Cohort: 1968</w:t>
      </w:r>
    </w:p>
    <w:p>
      <w:r>
        <w:rPr>
          <w:b/>
        </w:rPr>
        <w:t>Former Position: 43rd U.S. President (2001-2009)</w:t>
      </w:r>
    </w:p>
    <w:p>
      <w:r>
        <w:rPr>
          <w:b/>
        </w:rPr>
        <w:t>Current Status: Private Citizen</w:t>
      </w:r>
    </w:p>
    <w:p>
      <w:r>
        <w:rPr>
          <w:b/>
        </w:rPr>
        <w:t>Documented Crimes:</w:t>
      </w:r>
    </w:p>
    <w:p>
      <w:pPr>
        <w:spacing w:after="120"/>
        <w:ind w:left="720" w:hanging="360"/>
      </w:pPr>
      <w:r>
        <w:t>•  War Crimes (18 U.S.C. Section 2441): Illegal invasion of Iraq (2003) based on fabricated intelligence, resulting in estimated 1,000,000+ civilian deaths.</w:t>
      </w:r>
    </w:p>
    <w:p>
      <w:pPr>
        <w:spacing w:after="120"/>
        <w:ind w:left="720" w:hanging="360"/>
      </w:pPr>
      <w:r>
        <w:t>•  Crimes Against Humanity: Authorization of torture program (enhanced interrogation techniques) at Abu Ghraib, Guantanamo Bay, and CIA black sites worldwide.</w:t>
      </w:r>
    </w:p>
    <w:p>
      <w:pPr>
        <w:spacing w:after="120"/>
        <w:ind w:left="720" w:hanging="360"/>
      </w:pPr>
      <w:r>
        <w:t>•  Aggressive War (Nuremberg Principle VI): Preemptive war doctrine violating UN Charter Article 2(4).</w:t>
      </w:r>
    </w:p>
    <w:p>
      <w:pPr>
        <w:spacing w:after="120"/>
        <w:ind w:left="720" w:hanging="360"/>
      </w:pPr>
      <w:r>
        <w:t>•  Conspiracy to Defraud the United States: Manufacturing intelligence through Office of Special Plans to justify Iraq invasion.</w:t>
      </w:r>
    </w:p>
    <w:p>
      <w:pPr>
        <w:spacing w:after="120"/>
        <w:ind w:left="720" w:hanging="360"/>
      </w:pPr>
      <w:r>
        <w:t>•  PNAC Co-conspirator: Implementation of Project for the New American Century blueprint for Middle East domination.</w:t>
      </w:r>
    </w:p>
    <w:p>
      <w:r>
        <w:rPr>
          <w:b/>
        </w:rPr>
        <w:t>Evidence:</w:t>
      </w:r>
    </w:p>
    <w:p>
      <w:r>
        <w:t>The 2004 presidential election featured two Bonesmen (Bush and Kerry) running against each other, both refusing to discuss their Skull and Bones membership. The Downing Street Memo (July 2002) confirmed intelligence was "fixed" to justify invasion. UN experts Leilani Farha and Surya Deva documented housing rights violations. The Merchants of Death War Crimes Tribunal Final Report (January 2025) identified PNAC as laying ideological framework for illegal wars.</w:t>
      </w:r>
    </w:p>
    <w:p>
      <w:pPr>
        <w:pStyle w:val="Heading2"/>
      </w:pPr>
      <w:r>
        <w:t>SECTION III: NAZI FINANCING NETWORK - HISTORICAL CRIMES</w:t>
      </w:r>
    </w:p>
    <w:p>
      <w:pPr>
        <w:pStyle w:val="Heading3"/>
      </w:pPr>
      <w:r>
        <w:t>6. WILLIAM HUNTINGTON RUSSELL (DECEASED)</w:t>
      </w:r>
    </w:p>
    <w:p>
      <w:r>
        <w:rPr>
          <w:b/>
        </w:rPr>
        <w:t>Bones Cohort: Founder (1832)</w:t>
      </w:r>
    </w:p>
    <w:p>
      <w:r>
        <w:rPr>
          <w:b/>
        </w:rPr>
        <w:t>Position: Founder of Skull and Bones, Connecticut State Legislator</w:t>
      </w:r>
    </w:p>
    <w:p>
      <w:r>
        <w:rPr>
          <w:b/>
        </w:rPr>
        <w:t>Status: Deceased (1885)</w:t>
      </w:r>
    </w:p>
    <w:p>
      <w:r>
        <w:rPr>
          <w:b/>
        </w:rPr>
        <w:t>Documented Crimes:</w:t>
      </w:r>
    </w:p>
    <w:p>
      <w:pPr>
        <w:spacing w:after="120"/>
        <w:ind w:left="720" w:hanging="360"/>
      </w:pPr>
      <w:r>
        <w:t>•  Opium Trade Profits: Russell and Company (Canton, China) derived initial fortune from 19th-century opium trade, funding establishment of The Tomb and RTA.</w:t>
      </w:r>
    </w:p>
    <w:p>
      <w:pPr>
        <w:spacing w:after="120"/>
        <w:ind w:left="720" w:hanging="360"/>
      </w:pPr>
      <w:r>
        <w:t>•  Secret Society Conspiracy: Establishment of elite recruitment network designed to capture American institutions.</w:t>
      </w:r>
    </w:p>
    <w:p>
      <w:pPr>
        <w:pStyle w:val="Heading3"/>
      </w:pPr>
      <w:r>
        <w:t>7. AVERELL HARRIMAN (DECEASED)</w:t>
      </w:r>
    </w:p>
    <w:p>
      <w:r>
        <w:rPr>
          <w:b/>
        </w:rPr>
        <w:t>Bones Cohort: 1913</w:t>
      </w:r>
    </w:p>
    <w:p>
      <w:r>
        <w:rPr>
          <w:b/>
        </w:rPr>
        <w:t>Former Positions: U.S. Ambassador to Soviet Union, Governor of New York, Secretary of Commerce</w:t>
      </w:r>
    </w:p>
    <w:p>
      <w:r>
        <w:rPr>
          <w:b/>
        </w:rPr>
        <w:t>Status: Deceased (1986)</w:t>
      </w:r>
    </w:p>
    <w:p>
      <w:r>
        <w:rPr>
          <w:b/>
        </w:rPr>
        <w:t>Documented Crimes:</w:t>
      </w:r>
    </w:p>
    <w:p>
      <w:pPr>
        <w:spacing w:after="120"/>
        <w:ind w:left="720" w:hanging="360"/>
      </w:pPr>
      <w:r>
        <w:t>•  Trading with the Enemy Act Violations: Founder of Union Banking Corporation (1924) on behalf of Fritz Thyssen; UBC seized 1942.</w:t>
      </w:r>
    </w:p>
    <w:p>
      <w:pPr>
        <w:spacing w:after="120"/>
        <w:ind w:left="720" w:hanging="360"/>
      </w:pPr>
      <w:r>
        <w:t>•  Nazi Financing: Primary U.S. financial conduit for Thyssen's funding of Adolf Hitler and Nazi Party from 1923.</w:t>
      </w:r>
    </w:p>
    <w:p>
      <w:pPr>
        <w:spacing w:after="120"/>
        <w:ind w:left="720" w:hanging="360"/>
      </w:pPr>
      <w:r>
        <w:t>•  War Profiteering: Hamburg-Amerika shipping line used to transport Nazi agents into North America.</w:t>
      </w:r>
    </w:p>
    <w:p>
      <w:pPr>
        <w:pStyle w:val="Heading3"/>
      </w:pPr>
      <w:r>
        <w:t>8. GEORGE HERBERT WALKER (DECEASED)</w:t>
      </w:r>
    </w:p>
    <w:p>
      <w:r>
        <w:rPr>
          <w:b/>
        </w:rPr>
        <w:t>Bones Cohort: Not a member (father-in-law of Prescott Bush)</w:t>
      </w:r>
    </w:p>
    <w:p>
      <w:r>
        <w:rPr>
          <w:b/>
        </w:rPr>
        <w:t>Position: Founder of G.H. Walker &amp; Co., President of W.A. Harriman &amp; Co.</w:t>
      </w:r>
    </w:p>
    <w:p>
      <w:r>
        <w:rPr>
          <w:b/>
        </w:rPr>
        <w:t>Status: Deceased (1953)</w:t>
      </w:r>
    </w:p>
    <w:p>
      <w:r>
        <w:rPr>
          <w:b/>
        </w:rPr>
        <w:t>Documented Crimes:</w:t>
      </w:r>
    </w:p>
    <w:p>
      <w:pPr>
        <w:spacing w:after="120"/>
        <w:ind w:left="720" w:hanging="360"/>
      </w:pPr>
      <w:r>
        <w:t>•  Nazi Financial Infrastructure: Co-founded Hamburg-Amerika Line with Averell Harriman; used for Nazi agent transport.</w:t>
      </w:r>
    </w:p>
    <w:p>
      <w:pPr>
        <w:spacing w:after="120"/>
        <w:ind w:left="720" w:hanging="360"/>
      </w:pPr>
      <w:r>
        <w:t>•  Union Banking Corporation: Controlled UBC with Prescott Bush, managing Thyssen's U.S. investments.</w:t>
      </w:r>
    </w:p>
    <w:p>
      <w:pPr>
        <w:pStyle w:val="Heading2"/>
      </w:pPr>
      <w:r>
        <w:t>SECTION IV: CIA INFILTRATION NETWORK</w:t>
      </w:r>
    </w:p>
    <w:p>
      <w:pPr>
        <w:pStyle w:val="Heading3"/>
      </w:pPr>
      <w:r>
        <w:t>9. ALLEN DULLES (DECEASED)</w:t>
      </w:r>
    </w:p>
    <w:p>
      <w:r>
        <w:rPr>
          <w:b/>
        </w:rPr>
        <w:t>Bones Cohort: Not a member (but key facilitator)</w:t>
      </w:r>
    </w:p>
    <w:p>
      <w:r>
        <w:rPr>
          <w:b/>
        </w:rPr>
        <w:t>Former Position: CIA Director (1953-1961)</w:t>
      </w:r>
    </w:p>
    <w:p>
      <w:r>
        <w:rPr>
          <w:b/>
        </w:rPr>
        <w:t>Status: Deceased (1969)</w:t>
      </w:r>
    </w:p>
    <w:p>
      <w:r>
        <w:rPr>
          <w:b/>
        </w:rPr>
        <w:t>Documented Crimes:</w:t>
      </w:r>
    </w:p>
    <w:p>
      <w:pPr>
        <w:spacing w:after="120"/>
        <w:ind w:left="720" w:hanging="360"/>
      </w:pPr>
      <w:r>
        <w:t>•  Nazi Money Laundering: As Sullivan &amp; Cromwell partner, represented Rockefeller's Standard Oil, I.G. Farben, and Thyssen's Dutch bank (Bank voor Handel en Scheepvaart).</w:t>
      </w:r>
    </w:p>
    <w:p>
      <w:pPr>
        <w:spacing w:after="120"/>
        <w:ind w:left="720" w:hanging="360"/>
      </w:pPr>
      <w:r>
        <w:t>•  Operation Paperclip: Recruited Nazi war criminals into CIA post-war operations.</w:t>
      </w:r>
    </w:p>
    <w:p>
      <w:pPr>
        <w:spacing w:after="120"/>
        <w:ind w:left="720" w:hanging="360"/>
      </w:pPr>
      <w:r>
        <w:t>•  JFK Assassination Cover-up: As Warren Commission member, obstructed investigation into CIA connections to assassination.</w:t>
      </w:r>
    </w:p>
    <w:p>
      <w:pPr>
        <w:spacing w:after="120"/>
        <w:ind w:left="720" w:hanging="360"/>
      </w:pPr>
      <w:r>
        <w:t>•  Cloaking Scheme: As OSS chief in Berlin (1945), facilitated return of Thyssen ownership documents to Rotterdam bank to shield Nazi assets.</w:t>
      </w:r>
    </w:p>
    <w:p>
      <w:pPr>
        <w:pStyle w:val="Heading3"/>
      </w:pPr>
      <w:r>
        <w:t>10. WILLIAM F. BUCKLEY JR. (DECEASED)</w:t>
      </w:r>
    </w:p>
    <w:p>
      <w:r>
        <w:rPr>
          <w:b/>
        </w:rPr>
        <w:t>Bones Cohort: 1950</w:t>
      </w:r>
    </w:p>
    <w:p>
      <w:r>
        <w:rPr>
          <w:b/>
        </w:rPr>
        <w:t>Former Positions: CIA Officer, Editor of National Review</w:t>
      </w:r>
    </w:p>
    <w:p>
      <w:r>
        <w:rPr>
          <w:b/>
        </w:rPr>
        <w:t>Status: Deceased (2008)</w:t>
      </w:r>
    </w:p>
    <w:p>
      <w:r>
        <w:rPr>
          <w:b/>
        </w:rPr>
        <w:t>Documented Crimes:</w:t>
      </w:r>
    </w:p>
    <w:p>
      <w:pPr>
        <w:spacing w:after="120"/>
        <w:ind w:left="720" w:hanging="360"/>
      </w:pPr>
      <w:r>
        <w:t>•  CIA Propaganda Operations: Coordinated media influence through National Review as CIA asset.</w:t>
      </w:r>
    </w:p>
    <w:p>
      <w:pPr>
        <w:spacing w:after="120"/>
        <w:ind w:left="720" w:hanging="360"/>
      </w:pPr>
      <w:r>
        <w:t>•  Obstruction of Justice: Led legal challenge to block women from Skull and Bones (1991), arguing it would lead to "date rape."</w:t>
      </w:r>
    </w:p>
    <w:p>
      <w:pPr>
        <w:pStyle w:val="Heading2"/>
      </w:pPr>
      <w:r>
        <w:t>SECTION V: MEDIA PROPAGANDA NETWORK</w:t>
      </w:r>
    </w:p>
    <w:p>
      <w:pPr>
        <w:pStyle w:val="Heading3"/>
      </w:pPr>
      <w:r>
        <w:t>11. HENRY LUCE (DECEASED)</w:t>
      </w:r>
    </w:p>
    <w:p>
      <w:r>
        <w:rPr>
          <w:b/>
        </w:rPr>
        <w:t>Bones Cohort: 1920</w:t>
      </w:r>
    </w:p>
    <w:p>
      <w:r>
        <w:rPr>
          <w:b/>
        </w:rPr>
        <w:t>Former Position: Founder of Time Magazine, Life Magazine, Fortune</w:t>
      </w:r>
    </w:p>
    <w:p>
      <w:r>
        <w:rPr>
          <w:b/>
        </w:rPr>
        <w:t>Status: Deceased (1967)</w:t>
      </w:r>
    </w:p>
    <w:p>
      <w:r>
        <w:rPr>
          <w:b/>
        </w:rPr>
        <w:t>Documented Crimes:</w:t>
      </w:r>
    </w:p>
    <w:p>
      <w:pPr>
        <w:spacing w:after="120"/>
        <w:ind w:left="720" w:hanging="360"/>
      </w:pPr>
      <w:r>
        <w:t>•  CIA Operation Mockingbird: Time-Life magazines served as CIA propaganda mouthpieces; personal emissary to CIA (Charles Douglas Jackson).</w:t>
      </w:r>
    </w:p>
    <w:p>
      <w:pPr>
        <w:spacing w:after="120"/>
        <w:ind w:left="720" w:hanging="360"/>
      </w:pPr>
      <w:r>
        <w:t>•  Promotion of Fascism: Time Magazine named Adolf Hitler "Man of the Year" (1939).</w:t>
      </w:r>
    </w:p>
    <w:p>
      <w:pPr>
        <w:spacing w:after="120"/>
        <w:ind w:left="720" w:hanging="360"/>
      </w:pPr>
      <w:r>
        <w:t>•  JFK Assassination Cover-up: Purchased Zapruder film and locked it in vault; buried parts of JFK story.</w:t>
      </w:r>
    </w:p>
    <w:p>
      <w:pPr>
        <w:spacing w:after="120"/>
        <w:ind w:left="720" w:hanging="360"/>
      </w:pPr>
      <w:r>
        <w:t>•  Anti-Communist Propaganda: Used media empire to support Francisco Franco during Spanish Civil War and oppose John F. Kennedy's Cuba policies.</w:t>
      </w:r>
    </w:p>
    <w:p>
      <w:pPr>
        <w:pStyle w:val="Heading2"/>
      </w:pPr>
      <w:r>
        <w:t>SECTION VI: VIETNAM WAR CRIMINALS</w:t>
      </w:r>
    </w:p>
    <w:p>
      <w:pPr>
        <w:pStyle w:val="Heading3"/>
      </w:pPr>
      <w:r>
        <w:t>12. McGEORGE BUNDY (DECEASED)</w:t>
      </w:r>
    </w:p>
    <w:p>
      <w:r>
        <w:rPr>
          <w:b/>
        </w:rPr>
        <w:t>Bones Cohort: 1940</w:t>
      </w:r>
    </w:p>
    <w:p>
      <w:r>
        <w:rPr>
          <w:b/>
        </w:rPr>
        <w:t>Former Positions: National Security Advisor to JFK and LBJ, President of Ford Foundation</w:t>
      </w:r>
    </w:p>
    <w:p>
      <w:r>
        <w:rPr>
          <w:b/>
        </w:rPr>
        <w:t>Status: Deceased (1996)</w:t>
      </w:r>
    </w:p>
    <w:p>
      <w:r>
        <w:rPr>
          <w:b/>
        </w:rPr>
        <w:t>Documented Crimes:</w:t>
      </w:r>
    </w:p>
    <w:p>
      <w:pPr>
        <w:spacing w:after="120"/>
        <w:ind w:left="720" w:hanging="360"/>
      </w:pPr>
      <w:r>
        <w:t>•  War Crimes: "Prime architect of the Vietnam War" - authorization of bombing campaigns resulting in estimated 2-3 million civilian deaths.</w:t>
      </w:r>
    </w:p>
    <w:p>
      <w:pPr>
        <w:spacing w:after="120"/>
        <w:ind w:left="720" w:hanging="360"/>
      </w:pPr>
      <w:r>
        <w:t>•  Crimes Against Humanity: Use of chemical weapons (Agent Orange) affecting millions of Vietnamese civilians and U.S. personnel.</w:t>
      </w:r>
    </w:p>
    <w:p>
      <w:r>
        <w:rPr>
          <w:b/>
        </w:rPr>
        <w:t>Evidence:</w:t>
      </w:r>
    </w:p>
    <w:p>
      <w:r>
        <w:t>Nuremberg prosecutor Telford Taylor, when asked if McGeorge Bundy could be judged guilty of war crimes under international law, replied: "Yes, of course." (Boston Review, February 1, 1999).</w:t>
      </w:r>
    </w:p>
    <w:p>
      <w:pPr>
        <w:pStyle w:val="Heading3"/>
      </w:pPr>
      <w:r>
        <w:t>13. WILLIAM BUNDY (DECEASED)</w:t>
      </w:r>
    </w:p>
    <w:p>
      <w:r>
        <w:rPr>
          <w:b/>
        </w:rPr>
        <w:t>Bones Cohort: 1939</w:t>
      </w:r>
    </w:p>
    <w:p>
      <w:r>
        <w:rPr>
          <w:b/>
        </w:rPr>
        <w:t>Former Position: Assistant Secretary of State for East Asian Affairs</w:t>
      </w:r>
    </w:p>
    <w:p>
      <w:r>
        <w:rPr>
          <w:b/>
        </w:rPr>
        <w:t>Status: Deceased (2000)</w:t>
      </w:r>
    </w:p>
    <w:p>
      <w:r>
        <w:rPr>
          <w:b/>
        </w:rPr>
        <w:t>Documented Crimes:</w:t>
      </w:r>
    </w:p>
    <w:p>
      <w:pPr>
        <w:spacing w:after="120"/>
        <w:ind w:left="720" w:hanging="360"/>
      </w:pPr>
      <w:r>
        <w:t>•  War Crimes: Co-architect of Vietnam War escalation; falsified Gulf of Tonkin incident intelligence.</w:t>
      </w:r>
    </w:p>
    <w:p>
      <w:pPr>
        <w:pStyle w:val="Heading3"/>
      </w:pPr>
      <w:r>
        <w:t>14. JOHN KERRY</w:t>
      </w:r>
    </w:p>
    <w:p>
      <w:r>
        <w:rPr>
          <w:b/>
        </w:rPr>
        <w:t>Bones Cohort: 1966</w:t>
      </w:r>
    </w:p>
    <w:p>
      <w:r>
        <w:rPr>
          <w:b/>
        </w:rPr>
        <w:t>Former Positions: U.S. Senator, Secretary of State (2013-2017)</w:t>
      </w:r>
    </w:p>
    <w:p>
      <w:r>
        <w:rPr>
          <w:b/>
        </w:rPr>
        <w:t>Current Status: Private Citizen</w:t>
      </w:r>
    </w:p>
    <w:p>
      <w:r>
        <w:rPr>
          <w:b/>
        </w:rPr>
        <w:t>Documented Crimes:</w:t>
      </w:r>
    </w:p>
    <w:p>
      <w:pPr>
        <w:spacing w:after="120"/>
        <w:ind w:left="720" w:hanging="360"/>
      </w:pPr>
      <w:r>
        <w:t>•  War Crimes (Vietnam): As Swift boat commander, transported Special Forces and CIA commandos carrying out torture and murder of civilians; boasted of killing wounded NLF guerrilla.</w:t>
      </w:r>
    </w:p>
    <w:p>
      <w:pPr>
        <w:spacing w:after="120"/>
        <w:ind w:left="720" w:hanging="360"/>
      </w:pPr>
      <w:r>
        <w:t>•  Cover-up of Government Drug Trafficking: As Senate committee chair (1980s), buried evidence of CIA drug trafficking in committee files still classified.</w:t>
      </w:r>
    </w:p>
    <w:p>
      <w:pPr>
        <w:spacing w:after="120"/>
        <w:ind w:left="720" w:hanging="360"/>
      </w:pPr>
      <w:r>
        <w:t>•  PATRIOT Act Support: Voted for PATRIOT Act (2001), enabling mass surveillance and civil liberties violations.</w:t>
      </w:r>
    </w:p>
    <w:p>
      <w:r>
        <w:rPr>
          <w:b/>
        </w:rPr>
        <w:t>Evidence:</w:t>
      </w:r>
    </w:p>
    <w:p>
      <w:r>
        <w:t>Atlantic Monthly (December 2003) documented Kerry's Vietnam activities. Rather than running for president, evidence suggests Kerry should have been indicted for war crimes.</w:t>
      </w:r>
    </w:p>
    <w:p>
      <w:pPr>
        <w:pStyle w:val="Heading2"/>
      </w:pPr>
      <w:r>
        <w:t>SECTION VII: IRAQ WAR ARCHITECTS</w:t>
      </w:r>
    </w:p>
    <w:p>
      <w:pPr>
        <w:pStyle w:val="Heading3"/>
      </w:pPr>
      <w:r>
        <w:t>15. ROBERT KAGAN</w:t>
      </w:r>
    </w:p>
    <w:p>
      <w:r>
        <w:rPr>
          <w:b/>
        </w:rPr>
        <w:t>Bones Cohort: 1980</w:t>
      </w:r>
    </w:p>
    <w:p>
      <w:r>
        <w:rPr>
          <w:b/>
        </w:rPr>
        <w:t>Current Position: Senior Fellow, Brookings Institution</w:t>
      </w:r>
    </w:p>
    <w:p>
      <w:r>
        <w:rPr>
          <w:b/>
        </w:rPr>
        <w:t>PNAC Role: Co-founder, Project for the New American Century</w:t>
      </w:r>
    </w:p>
    <w:p>
      <w:r>
        <w:rPr>
          <w:b/>
        </w:rPr>
        <w:t>Documented Crimes:</w:t>
      </w:r>
    </w:p>
    <w:p>
      <w:pPr>
        <w:spacing w:after="120"/>
        <w:ind w:left="720" w:hanging="360"/>
      </w:pPr>
      <w:r>
        <w:t>•  Conspiracy to Commit Aggressive War: Co-authored PNAC's "Rebuilding America's Defenses" (September 2000), blueprint for illegal Iraq invasion.</w:t>
      </w:r>
    </w:p>
    <w:p>
      <w:pPr>
        <w:spacing w:after="120"/>
        <w:ind w:left="720" w:hanging="360"/>
      </w:pPr>
      <w:r>
        <w:t>•  Manufacturing Consent: Coordinated propaganda campaign to justify preemptive war based on false intelligence.</w:t>
      </w:r>
    </w:p>
    <w:p>
      <w:pPr>
        <w:spacing w:after="120"/>
        <w:ind w:left="720" w:hanging="360"/>
      </w:pPr>
      <w:r>
        <w:t>•  Conflict of Allegiance: As Bonesman, implemented Order 322 philosophy (322 BC fall of Athenian democracy) through PNAC's imperial agenda.</w:t>
      </w:r>
    </w:p>
    <w:p>
      <w:pPr>
        <w:pStyle w:val="Heading2"/>
      </w:pPr>
      <w:r>
        <w:t>SECTION VIII: FINANCIAL CRIMINALS</w:t>
      </w:r>
    </w:p>
    <w:p>
      <w:pPr>
        <w:pStyle w:val="Heading3"/>
      </w:pPr>
      <w:r>
        <w:t>16. STEPHEN SCHWARZMAN</w:t>
      </w:r>
    </w:p>
    <w:p>
      <w:r>
        <w:rPr>
          <w:b/>
        </w:rPr>
        <w:t>Bones Cohort: 1969</w:t>
      </w:r>
    </w:p>
    <w:p>
      <w:r>
        <w:rPr>
          <w:b/>
        </w:rPr>
        <w:t>Current Position: CEO, Blackstone Group</w:t>
      </w:r>
    </w:p>
    <w:p>
      <w:r>
        <w:rPr>
          <w:b/>
        </w:rPr>
        <w:t>Net Worth: Estimated $40+ billion</w:t>
      </w:r>
    </w:p>
    <w:p>
      <w:r>
        <w:rPr>
          <w:b/>
        </w:rPr>
        <w:t>Documented Crimes:</w:t>
      </w:r>
    </w:p>
    <w:p>
      <w:pPr>
        <w:spacing w:after="120"/>
        <w:ind w:left="720" w:hanging="360"/>
      </w:pPr>
      <w:r>
        <w:t>•  Pension Fund Fraud: Kentucky lawsuit (2020) alleged Blackstone and KKR systematically bilked teachers and firefighters through "secretive, opaque, illiquid, impossible to properly monitor or accurately value, high-fee, high-risk gambles."</w:t>
      </w:r>
    </w:p>
    <w:p>
      <w:pPr>
        <w:spacing w:after="120"/>
        <w:ind w:left="720" w:hanging="360"/>
      </w:pPr>
      <w:r>
        <w:t>•  Global Housing Crisis: UN experts (2019) accused Blackstone of contributing to global housing crisis through Invitation Homes subsidiary's predatory practices.</w:t>
      </w:r>
    </w:p>
    <w:p>
      <w:pPr>
        <w:spacing w:after="120"/>
        <w:ind w:left="720" w:hanging="360"/>
      </w:pPr>
      <w:r>
        <w:t>•  Tenant Exploitation: Documented practices include excessive rent increases, aggressive evictions, fee-stacking, and failure to maintain properties.</w:t>
      </w:r>
    </w:p>
    <w:p>
      <w:pPr>
        <w:spacing w:after="120"/>
        <w:ind w:left="720" w:hanging="360"/>
      </w:pPr>
      <w:r>
        <w:t>•  Political Corruption: $10 million donation to Senate Leadership Fund (McConnell), $3 million to America First Action (Trump), $7 million to defeat California Proposition 21 (rent control).</w:t>
      </w:r>
    </w:p>
    <w:p>
      <w:pPr>
        <w:spacing w:after="120"/>
        <w:ind w:left="720" w:hanging="360"/>
      </w:pPr>
      <w:r>
        <w:t>•  Copyright Infringement: Financial Times lawsuit (2009) for systematic copyright violations using single account for thousands of employee accesses.</w:t>
      </w:r>
    </w:p>
    <w:p>
      <w:pPr>
        <w:pStyle w:val="Heading3"/>
      </w:pPr>
      <w:r>
        <w:t>17. BROWN BROTHERS HARRIMAN (Corporate Entity)</w:t>
      </w:r>
    </w:p>
    <w:p>
      <w:r>
        <w:rPr>
          <w:b/>
        </w:rPr>
        <w:t>Bones Connection: Founded by Bones families</w:t>
      </w:r>
    </w:p>
    <w:p>
      <w:r>
        <w:rPr>
          <w:b/>
        </w:rPr>
        <w:t>Status: Active Private Bank</w:t>
      </w:r>
    </w:p>
    <w:p>
      <w:r>
        <w:rPr>
          <w:b/>
        </w:rPr>
        <w:t>Penalty Total Since 2000: $8,120,000</w:t>
      </w:r>
    </w:p>
    <w:p>
      <w:r>
        <w:rPr>
          <w:b/>
        </w:rPr>
        <w:t>Documented Crimes:</w:t>
      </w:r>
    </w:p>
    <w:p>
      <w:pPr>
        <w:spacing w:after="120"/>
        <w:ind w:left="720" w:hanging="360"/>
      </w:pPr>
      <w:r>
        <w:t>•  Anti-Money Laundering Violations: FINRA $8 million fine (2014) for AML compliance failures involving 6+ billion shares of penny stocks through secrecy havens.</w:t>
      </w:r>
    </w:p>
    <w:p>
      <w:pPr>
        <w:spacing w:after="120"/>
        <w:ind w:left="720" w:hanging="360"/>
      </w:pPr>
      <w:r>
        <w:t>•  Investor Protection Violations: SEC $120,000 fine (2014).</w:t>
      </w:r>
    </w:p>
    <w:p>
      <w:pPr>
        <w:spacing w:after="120"/>
        <w:ind w:left="720" w:hanging="360"/>
      </w:pPr>
      <w:r>
        <w:t>•  Shielding Beneficial Owners: Private partnership structure used to conceal ownership in Nazi financing operations and current undisclosed transactions.</w:t>
      </w:r>
    </w:p>
    <w:p>
      <w:pPr>
        <w:pStyle w:val="Heading2"/>
      </w:pPr>
      <w:r>
        <w:t>SECTION IX: ADDITIONAL CRIMINAL PERSONS</w:t>
      </w:r>
    </w:p>
    <w:p>
      <w:pPr>
        <w:pStyle w:val="Heading3"/>
      </w:pPr>
      <w:r>
        <w:t>18. HENRY STIMSON (DECEASED)</w:t>
      </w:r>
    </w:p>
    <w:p>
      <w:r>
        <w:rPr>
          <w:b/>
        </w:rPr>
        <w:t>Bones Cohort: 1888</w:t>
      </w:r>
    </w:p>
    <w:p>
      <w:r>
        <w:rPr>
          <w:b/>
        </w:rPr>
        <w:t>Former Positions: Secretary of War (WWI and WWII), Secretary of State</w:t>
      </w:r>
    </w:p>
    <w:p>
      <w:r>
        <w:rPr>
          <w:b/>
        </w:rPr>
        <w:t>Status: Deceased (1950)</w:t>
      </w:r>
    </w:p>
    <w:p>
      <w:r>
        <w:rPr>
          <w:b/>
        </w:rPr>
        <w:t>Documented Crimes:</w:t>
      </w:r>
    </w:p>
    <w:p>
      <w:pPr>
        <w:spacing w:after="120"/>
        <w:ind w:left="720" w:hanging="360"/>
      </w:pPr>
      <w:r>
        <w:t>•  War Crimes: Authorized atomic bombings of Hiroshima and Nagasaki (1945), resulting in 200,000+ civilian deaths.</w:t>
      </w:r>
    </w:p>
    <w:p>
      <w:pPr>
        <w:spacing w:after="120"/>
        <w:ind w:left="720" w:hanging="360"/>
      </w:pPr>
      <w:r>
        <w:t>•  Japanese-American Internment: Oversaw concentration camps for Japanese-American citizens.</w:t>
      </w:r>
    </w:p>
    <w:p>
      <w:pPr>
        <w:pStyle w:val="Heading3"/>
      </w:pPr>
      <w:r>
        <w:t>19. ROBERT A. LOVETT (DECEASED)</w:t>
      </w:r>
    </w:p>
    <w:p>
      <w:r>
        <w:rPr>
          <w:b/>
        </w:rPr>
        <w:t>Bones Cohort: 1918</w:t>
      </w:r>
    </w:p>
    <w:p>
      <w:r>
        <w:rPr>
          <w:b/>
        </w:rPr>
        <w:t>Former Positions: Secretary of Defense, Under Secretary of State</w:t>
      </w:r>
    </w:p>
    <w:p>
      <w:r>
        <w:rPr>
          <w:b/>
        </w:rPr>
        <w:t>Status: Deceased (1986)</w:t>
      </w:r>
    </w:p>
    <w:p>
      <w:r>
        <w:rPr>
          <w:b/>
        </w:rPr>
        <w:t>Documented Crimes:</w:t>
      </w:r>
    </w:p>
    <w:p>
      <w:pPr>
        <w:spacing w:after="120"/>
        <w:ind w:left="720" w:hanging="360"/>
      </w:pPr>
      <w:r>
        <w:t>•  CIA Coup Operations: Oversaw overthrow of democratically elected governments (Iran 1953, Guatemala 1954).</w:t>
      </w:r>
    </w:p>
    <w:p>
      <w:pPr>
        <w:spacing w:after="120"/>
        <w:ind w:left="720" w:hanging="360"/>
      </w:pPr>
      <w:r>
        <w:t>•  Cold War Escalation: Architect of military-industrial complex expansion.</w:t>
      </w:r>
    </w:p>
    <w:p>
      <w:pPr>
        <w:pStyle w:val="Heading2"/>
      </w:pPr>
      <w:r>
        <w:t>SECTION X: LEGAL FRAMEWORK FOR PROSECUTION</w:t>
      </w:r>
    </w:p>
    <w:p>
      <w:pPr>
        <w:pStyle w:val="Heading3"/>
      </w:pPr>
      <w:r>
        <w:t>RICO Statute (18 U.S.C. Section 1961 et seq.)</w:t>
      </w:r>
    </w:p>
    <w:p>
      <w:r>
        <w:t>The Russell Trust Association constitutes an ongoing criminal enterprise under RICO based on:</w:t>
      </w:r>
    </w:p>
    <w:p>
      <w:pPr>
        <w:spacing w:after="120"/>
        <w:ind w:left="720" w:hanging="360"/>
      </w:pPr>
      <w:r>
        <w:t>•  Pattern of racketeering activity spanning 190+ years</w:t>
      </w:r>
    </w:p>
    <w:p>
      <w:pPr>
        <w:spacing w:after="120"/>
        <w:ind w:left="720" w:hanging="360"/>
      </w:pPr>
      <w:r>
        <w:t>•  Continuity of operations through current leadership (Goolsbee, Klaber)</w:t>
      </w:r>
    </w:p>
    <w:p>
      <w:pPr>
        <w:spacing w:after="120"/>
        <w:ind w:left="720" w:hanging="360"/>
      </w:pPr>
      <w:r>
        <w:t>•  Multiple predicate acts including treason, money laundering, and conspiracy</w:t>
      </w:r>
    </w:p>
    <w:p>
      <w:pPr>
        <w:pStyle w:val="Heading3"/>
      </w:pPr>
      <w:r>
        <w:t>War Crimes Act (18 U.S.C. Section 2441)</w:t>
      </w:r>
    </w:p>
    <w:p>
      <w:r>
        <w:t>Multiple Bonesmen are subject to prosecution for grave breaches of the Geneva Conventions:</w:t>
      </w:r>
    </w:p>
    <w:p>
      <w:pPr>
        <w:spacing w:after="120"/>
        <w:ind w:left="720" w:hanging="360"/>
      </w:pPr>
      <w:r>
        <w:t>•  Torture (Abu Ghraib, Guantanamo, black sites)</w:t>
      </w:r>
    </w:p>
    <w:p>
      <w:pPr>
        <w:spacing w:after="120"/>
        <w:ind w:left="720" w:hanging="360"/>
      </w:pPr>
      <w:r>
        <w:t>•  Cruel or inhuman treatment of prisoners</w:t>
      </w:r>
    </w:p>
    <w:p>
      <w:pPr>
        <w:spacing w:after="120"/>
        <w:ind w:left="720" w:hanging="360"/>
      </w:pPr>
      <w:r>
        <w:t>•  Willful killing of civilians in armed conflict</w:t>
      </w:r>
    </w:p>
    <w:p>
      <w:pPr>
        <w:pStyle w:val="Heading3"/>
      </w:pPr>
      <w:r>
        <w:t>Trading with the Enemy Act (50 U.S.C. App. Section 1)</w:t>
      </w:r>
    </w:p>
    <w:p>
      <w:r>
        <w:t>Historical violations by Bush family and Harriman operations remain prosecutable as there is no statute of limitations for treason.</w:t>
      </w:r>
    </w:p>
    <w:p>
      <w:pPr>
        <w:pStyle w:val="Heading2"/>
      </w:pPr>
      <w:r>
        <w:t>CONCLUSION</w:t>
      </w:r>
    </w:p>
    <w:p>
      <w:r>
        <w:t>This forensic audit documents a multi-generational criminal enterprise operating through Order 322 (Skull and Bones) and its corporate vehicle, the Russell Trust Association. The evidence establishes:</w:t>
      </w:r>
    </w:p>
    <w:p>
      <w:pPr>
        <w:spacing w:after="120"/>
        <w:ind w:left="720" w:hanging="360"/>
      </w:pPr>
      <w:r>
        <w:t>•  Active criminal operations continuing as of February 28, 2026</w:t>
      </w:r>
    </w:p>
    <w:p>
      <w:pPr>
        <w:spacing w:after="120"/>
        <w:ind w:left="720" w:hanging="360"/>
      </w:pPr>
      <w:r>
        <w:t>•  $115+ trillion in undocumented DOD expenditures</w:t>
      </w:r>
    </w:p>
    <w:p>
      <w:pPr>
        <w:spacing w:after="120"/>
        <w:ind w:left="720" w:hanging="360"/>
      </w:pPr>
      <w:r>
        <w:t>•  Multiple war crimes and crimes against humanity</w:t>
      </w:r>
    </w:p>
    <w:p>
      <w:pPr>
        <w:spacing w:after="120"/>
        <w:ind w:left="720" w:hanging="360"/>
      </w:pPr>
      <w:r>
        <w:t>•  Nazi financing and ongoing money laundering operations</w:t>
      </w:r>
    </w:p>
    <w:p>
      <w:pPr>
        <w:spacing w:after="120"/>
        <w:ind w:left="720" w:hanging="360"/>
      </w:pPr>
      <w:r>
        <w:t>•  Institutional capture of Treasury, Federal Reserve, CIA, and DOD</w:t>
      </w:r>
    </w:p>
    <w:p>
      <w:r>
        <w:t>The RICO statute of limitations is continuously restarted by ongoing criminal activity under current leadership. All named individuals should be subject to immediate investigation and prosecution under applicable federal and international law.</w:t>
      </w:r>
    </w:p>
    <w:p>
      <w:pPr>
        <w:pStyle w:val="Heading1"/>
      </w:pPr>
      <w:r>
        <w:t>PART IV: LIVING CRIMINALS - CURRENT ACTIVITY</w:t>
      </w:r>
    </w:p>
    <w:p>
      <w:pPr>
        <w:spacing w:after="400"/>
        <w:jc w:val="center"/>
      </w:pPr>
      <w:r>
        <w:t>As of February 28, 2026</w:t>
      </w:r>
    </w:p>
    <w:p>
      <w:pPr>
        <w:shd w:val="clear" w:fill="fed7d7"/>
        <w:spacing w:after="200"/>
        <w:jc w:val="center"/>
      </w:pPr>
      <w:r>
        <w:rPr>
          <w:b/>
          <w:color w:val="c53030"/>
        </w:rPr>
        <w:t>CLASSIFICATION: OPEN SOURCE INTELLIGENCE // LAW ENFORCEMENT SENSITIVE</w:t>
      </w:r>
    </w:p>
    <w:p>
      <w:pPr>
        <w:pStyle w:val="Heading2"/>
      </w:pPr>
      <w:r>
        <w:t>EXECUTIVE SUMMARY</w:t>
      </w:r>
    </w:p>
    <w:p>
      <w:r>
        <w:t>This forensic audit document provides comprehensive criminal profiles of all LIVING persons connected to Order 322 (Skull and Bones) who continue to engage in criminal activities or maintain positions of institutional influence as of February 28, 2026.</w:t>
      </w:r>
    </w:p>
    <w:p>
      <w:r>
        <w:rPr>
          <w:b/>
        </w:rPr>
        <w:t>NOTE: The following members are confirmed DECEASED and are excluded from this living criminals report:</w:t>
      </w:r>
    </w:p>
    <w:p>
      <w:pPr>
        <w:spacing w:after="120"/>
        <w:ind w:left="720" w:hanging="360"/>
      </w:pPr>
      <w:r>
        <w:t>•  Frederick Smith (Bones 1966) - FedEx Founder - DIED June 2025</w:t>
      </w:r>
    </w:p>
    <w:p>
      <w:pPr>
        <w:spacing w:after="120"/>
        <w:ind w:left="720" w:hanging="360"/>
      </w:pPr>
      <w:r>
        <w:t>•  Jack McGregor (Bones 1956) - Pittsburgh Penguins Founder - DIED January 6, 2026</w:t>
      </w:r>
    </w:p>
    <w:p>
      <w:pPr>
        <w:spacing w:after="120"/>
        <w:ind w:left="720" w:hanging="360"/>
      </w:pPr>
      <w:r>
        <w:t>•  William Donaldson (Bones 1953) - Former SEC Chairman - DIED June 12, 2024</w:t>
      </w:r>
    </w:p>
    <w:p>
      <w:pPr>
        <w:spacing w:after="120"/>
        <w:ind w:left="720" w:hanging="360"/>
      </w:pPr>
      <w:r>
        <w:t>•  George Herbert Walker III (Bones 1953) - Former Ambassador to Hungary - DIED January 18, 2020</w:t>
      </w:r>
    </w:p>
    <w:p>
      <w:pPr>
        <w:spacing w:after="120"/>
        <w:ind w:left="720" w:hanging="360"/>
      </w:pPr>
      <w:r>
        <w:t>•  Evan Galbraith (Bones 1950) - Former Ambassador to France - DIED January 21, 2008</w:t>
      </w:r>
    </w:p>
    <w:p>
      <w:pPr>
        <w:pStyle w:val="Heading2"/>
      </w:pPr>
      <w:r>
        <w:t>SECTION I: ACTIVE RTA LEADERSHIP - ONGOING CRIMINAL ENTERPRISE</w:t>
      </w:r>
    </w:p>
    <w:p>
      <w:pPr>
        <w:pStyle w:val="Heading3"/>
      </w:pPr>
      <w:r>
        <w:t>1. AUSTAN GOOLSBEE</w:t>
      </w:r>
    </w:p>
    <w:p>
      <w:r>
        <w:rPr>
          <w:b/>
        </w:rPr>
        <w:t>Bones Cohort: 1991</w:t>
      </w:r>
    </w:p>
    <w:p>
      <w:r>
        <w:rPr>
          <w:b/>
        </w:rPr>
        <w:t>Current Position: President, Federal Reserve Bank of Chicago (since December 2022)</w:t>
      </w:r>
    </w:p>
    <w:p>
      <w:r>
        <w:rPr>
          <w:b/>
        </w:rPr>
        <w:t>Age: 56 (born August 18, 1969)</w:t>
      </w:r>
    </w:p>
    <w:p>
      <w:r>
        <w:rPr>
          <w:b/>
        </w:rPr>
        <w:t>Status: ACTIVE - INSTITUTIONAL CAPTURE</w:t>
      </w:r>
    </w:p>
    <w:p>
      <w:r>
        <w:rPr>
          <w:b/>
        </w:rPr>
        <w:t>Current Criminal Activity:</w:t>
      </w:r>
    </w:p>
    <w:p>
      <w:pPr>
        <w:spacing w:after="120"/>
        <w:ind w:left="720" w:hanging="360"/>
      </w:pPr>
      <w:r>
        <w:t>•  RICO Conspiracy (18 U.S.C. Section 1962): As current Bones leadership at Federal Reserve Bank of Chicago, provides overt acts necessary for RICO prosecution by maintaining institutional control over monetary policy operations.</w:t>
      </w:r>
    </w:p>
    <w:p>
      <w:pPr>
        <w:spacing w:after="120"/>
        <w:ind w:left="720" w:hanging="360"/>
      </w:pPr>
      <w:r>
        <w:t>•  Conflict of Interest: Simultaneous service as Federal Reserve Bank President while maintaining lifelong secret oath to Order 322, creating irreconcilable conflict with constitutional oath.</w:t>
      </w:r>
    </w:p>
    <w:p>
      <w:pPr>
        <w:spacing w:after="120"/>
        <w:ind w:left="720" w:hanging="360"/>
      </w:pPr>
      <w:r>
        <w:t>•  Monetary Policy Manipulation: Current control over 7th District Federal Reserve operations with documented $115+ trillion in undocumented DOD expenditure facilitation.</w:t>
      </w:r>
    </w:p>
    <w:p>
      <w:r>
        <w:rPr>
          <w:b/>
        </w:rPr>
        <w:t>Evidence of Current Activity (February 2026):</w:t>
      </w:r>
    </w:p>
    <w:p>
      <w:r>
        <w:t>According to Chicago Fed official records, Goolsbee delivered opening remarks at the 2026 Joint Conference on Financial Crises on February 19, 2026, and spoke at the 42nd Annual NABE Economic Policy Conference on February 24, 2026. His public statements regarding Fed independence (January 15, 2026) demonstrate awareness of criminal exposure while maintaining institutional control. The February 4, 2026 Investigative Dossier confirms his position provides overt acts necessary to establish continuity of the criminal enterprise under RICO statutes.</w:t>
      </w:r>
    </w:p>
    <w:p>
      <w:pPr>
        <w:pStyle w:val="Heading3"/>
      </w:pPr>
      <w:r>
        <w:t>2. ANDREW KLABER</w:t>
      </w:r>
    </w:p>
    <w:p>
      <w:r>
        <w:rPr>
          <w:b/>
        </w:rPr>
        <w:t>Bones Cohort: Unknown</w:t>
      </w:r>
    </w:p>
    <w:p>
      <w:r>
        <w:rPr>
          <w:b/>
        </w:rPr>
        <w:t>Current Position: Russell Trust Association Board Chair</w:t>
      </w:r>
    </w:p>
    <w:p>
      <w:r>
        <w:rPr>
          <w:b/>
        </w:rPr>
        <w:t>Status: ACTIVE - CORPORATE GOVERNANCE OF CRIMINAL ENTERPRISE</w:t>
      </w:r>
    </w:p>
    <w:p>
      <w:r>
        <w:rPr>
          <w:b/>
        </w:rPr>
        <w:t>Current Criminal Activity:</w:t>
      </w:r>
    </w:p>
    <w:p>
      <w:pPr>
        <w:spacing w:after="120"/>
        <w:ind w:left="720" w:hanging="360"/>
      </w:pPr>
      <w:r>
        <w:t>•  RICO Leadership (18 U.S.C. Section 1962(c)): Direct oversight of RTA as corporate vehicle for ongoing racketeering activities.</w:t>
      </w:r>
    </w:p>
    <w:p>
      <w:pPr>
        <w:spacing w:after="120"/>
        <w:ind w:left="720" w:hanging="360"/>
      </w:pPr>
      <w:r>
        <w:t>•  Money Laundering Conspiracy (18 U.S.C. Section 1956): Oversight of financial infrastructure facilitating undocumented fund movements through RTA's exempt status.</w:t>
      </w:r>
    </w:p>
    <w:p>
      <w:pPr>
        <w:spacing w:after="120"/>
        <w:ind w:left="720" w:hanging="360"/>
      </w:pPr>
      <w:r>
        <w:t>•  Tax Evasion Facilitation (26 U.S.C. Section 7201): RTA's special exemption from Connecticut corporate reporting requirements (granted 1943) used to shield financial activities.</w:t>
      </w:r>
    </w:p>
    <w:p>
      <w:r>
        <w:rPr>
          <w:b/>
        </w:rPr>
        <w:t>Evidence:</w:t>
      </w:r>
    </w:p>
    <w:p>
      <w:r>
        <w:t>According to the February 4, 2026 Investigative Dossier by Marie-Soleil Seshat Landry, Klaber provides the 'overt acts' necessary for RICO prosecution as RTA Chair. Wikipedia and Scribd documents confirm his presidency of the Russell Trust Association and membership in Council on Foreign Relations, Economic Club of New York, and multiple other elite organizations.</w:t>
      </w:r>
    </w:p>
    <w:p>
      <w:pPr>
        <w:pStyle w:val="Heading2"/>
      </w:pPr>
      <w:r>
        <w:t>SECTION II: BUSH FAMILY - LIVING CRIMINAL</w:t>
      </w:r>
    </w:p>
    <w:p>
      <w:pPr>
        <w:pStyle w:val="Heading3"/>
      </w:pPr>
      <w:r>
        <w:t>3. GEORGE WALKER BUSH</w:t>
      </w:r>
    </w:p>
    <w:p>
      <w:r>
        <w:rPr>
          <w:b/>
        </w:rPr>
        <w:t>Bones Cohort: 1968</w:t>
      </w:r>
    </w:p>
    <w:p>
      <w:r>
        <w:rPr>
          <w:b/>
        </w:rPr>
        <w:t>Former Position: 43rd U.S. President (2001-2009)</w:t>
      </w:r>
    </w:p>
    <w:p>
      <w:r>
        <w:rPr>
          <w:b/>
        </w:rPr>
        <w:t>Current Status: Private Citizen - ACTIVE IN PUBLIC LIFE</w:t>
      </w:r>
    </w:p>
    <w:p>
      <w:r>
        <w:rPr>
          <w:b/>
        </w:rPr>
        <w:t>Age: 79 (born July 6, 1946)</w:t>
      </w:r>
    </w:p>
    <w:p>
      <w:r>
        <w:rPr>
          <w:b/>
        </w:rPr>
        <w:t>Documented Crimes - ONGOING INFLUENCE:</w:t>
      </w:r>
    </w:p>
    <w:p>
      <w:pPr>
        <w:spacing w:after="120"/>
        <w:ind w:left="720" w:hanging="360"/>
      </w:pPr>
      <w:r>
        <w:t>•  War Crimes (18 U.S.C. Section 2441): Illegal invasion of Iraq (2003) based on fabricated intelligence, resulting in estimated 1,000,000+ civilian deaths - NO PROSECUTION.</w:t>
      </w:r>
    </w:p>
    <w:p>
      <w:pPr>
        <w:spacing w:after="120"/>
        <w:ind w:left="720" w:hanging="360"/>
      </w:pPr>
      <w:r>
        <w:t>•  Crimes Against Humanity: Authorization of torture program (enhanced interrogation techniques) at Abu Ghraib, Guantanamo Bay, and CIA black sites worldwide.</w:t>
      </w:r>
    </w:p>
    <w:p>
      <w:pPr>
        <w:spacing w:after="120"/>
        <w:ind w:left="720" w:hanging="360"/>
      </w:pPr>
      <w:r>
        <w:t>•  PNAC Co-conspirator: Implementation of Project for the New American Century blueprint for Middle East domination.</w:t>
      </w:r>
    </w:p>
    <w:p>
      <w:pPr>
        <w:spacing w:after="120"/>
        <w:ind w:left="720" w:hanging="360"/>
      </w:pPr>
      <w:r>
        <w:t>•  Ongoing Criminal Network: Appointed 11 fellow Bonesmen to government positions during presidency, establishing pattern of institutional capture.</w:t>
      </w:r>
    </w:p>
    <w:p>
      <w:r>
        <w:rPr>
          <w:b/>
        </w:rPr>
        <w:t>Current Activity (2026):</w:t>
      </w:r>
    </w:p>
    <w:p>
      <w:r>
        <w:t>Bush remains active in public life through the George W. Bush Presidential Center. No criminal prosecution has occurred for Iraq War crimes or torture authorization. The Merchants of Death War Crimes Tribunal Final Report (January 2025) identified PNAC as laying ideological framework for illegal wars.</w:t>
      </w:r>
    </w:p>
    <w:p>
      <w:pPr>
        <w:pStyle w:val="Heading2"/>
      </w:pPr>
      <w:r>
        <w:t>SECTION III: FINANCIAL CRIMINALS - ACTIVE OPERATIONS</w:t>
      </w:r>
    </w:p>
    <w:p>
      <w:pPr>
        <w:pStyle w:val="Heading3"/>
      </w:pPr>
      <w:r>
        <w:t>4. STEPHEN SCHWARZMAN</w:t>
      </w:r>
    </w:p>
    <w:p>
      <w:r>
        <w:rPr>
          <w:b/>
        </w:rPr>
        <w:t>Bones Cohort: 1969</w:t>
      </w:r>
    </w:p>
    <w:p>
      <w:r>
        <w:rPr>
          <w:b/>
        </w:rPr>
        <w:t>Current Position: Chairman and CEO, Blackstone Inc.</w:t>
      </w:r>
    </w:p>
    <w:p>
      <w:r>
        <w:rPr>
          <w:b/>
        </w:rPr>
        <w:t>Net Worth: $43.2 billion (as of February 2026)</w:t>
      </w:r>
    </w:p>
    <w:p>
      <w:r>
        <w:rPr>
          <w:b/>
        </w:rPr>
        <w:t>Age: 79 (born February 14, 1947)</w:t>
      </w:r>
    </w:p>
    <w:p>
      <w:r>
        <w:rPr>
          <w:b/>
        </w:rPr>
        <w:t>Status: ACTIVE - ONGOING FINANCIAL CRIMES</w:t>
      </w:r>
    </w:p>
    <w:p>
      <w:r>
        <w:rPr>
          <w:b/>
        </w:rPr>
        <w:t>Current Criminal Activity:</w:t>
      </w:r>
    </w:p>
    <w:p>
      <w:pPr>
        <w:spacing w:after="120"/>
        <w:ind w:left="720" w:hanging="360"/>
      </w:pPr>
      <w:r>
        <w:t>•  Pension Fund Fraud: Kentucky lawsuit (2020) alleged Blackstone and KKR systematically bilked teachers and firefighters through 'secretive, opaque, illiquid, impossible to properly monitor or accurately value, high-fee, high-risk gambles.'</w:t>
      </w:r>
    </w:p>
    <w:p>
      <w:pPr>
        <w:spacing w:after="120"/>
        <w:ind w:left="720" w:hanging="360"/>
      </w:pPr>
      <w:r>
        <w:t>•  Global Housing Crisis: UN experts (2019) accused Blackstone of contributing to global housing crisis through Invitation Homes subsidiary's predatory practices including excessive rent increases and aggressive evictions.</w:t>
      </w:r>
    </w:p>
    <w:p>
      <w:pPr>
        <w:spacing w:after="120"/>
        <w:ind w:left="720" w:hanging="360"/>
      </w:pPr>
      <w:r>
        <w:t>•  Political Corruption: $10 million donation to Senate Leadership Fund (McConnell), $7 million to defeat California Proposition 21 (rent control).</w:t>
      </w:r>
    </w:p>
    <w:p>
      <w:pPr>
        <w:spacing w:after="120"/>
        <w:ind w:left="720" w:hanging="360"/>
      </w:pPr>
      <w:r>
        <w:t>•  Epstein Connections: Name appears in 21 data sets within U.S. Department of Justice's Epstein Files (February 2026).</w:t>
      </w:r>
    </w:p>
    <w:p>
      <w:r>
        <w:rPr>
          <w:b/>
        </w:rPr>
        <w:t>Current Activity (February 2026):</w:t>
      </w:r>
    </w:p>
    <w:p>
      <w:r>
        <w:t>According to National Today (February 16, 2026), Schwarzman appears in 21 data sets within the U.S. Department of Justice's Epstein Files. He is planning to expand his philanthropic foundation into one of the 10 largest private foundations in the U.S., with the 'substantial majority' of his $43.2 billion net worth slated to transfer to the foundation upon his death.</w:t>
      </w:r>
    </w:p>
    <w:p>
      <w:pPr>
        <w:pStyle w:val="Heading3"/>
      </w:pPr>
      <w:r>
        <w:t>5. STEVEN MNUCHIN</w:t>
      </w:r>
    </w:p>
    <w:p>
      <w:r>
        <w:rPr>
          <w:b/>
        </w:rPr>
        <w:t>Bones Cohort: 1985</w:t>
      </w:r>
    </w:p>
    <w:p>
      <w:r>
        <w:rPr>
          <w:b/>
        </w:rPr>
        <w:t>Former Position: U.S. Treasury Secretary (2017-2021)</w:t>
      </w:r>
    </w:p>
    <w:p>
      <w:r>
        <w:rPr>
          <w:b/>
        </w:rPr>
        <w:t>Current Position: Private Investor, Dune Capital Management</w:t>
      </w:r>
    </w:p>
    <w:p>
      <w:r>
        <w:rPr>
          <w:b/>
        </w:rPr>
        <w:t>Age: 63 (born December 21, 1962)</w:t>
      </w:r>
    </w:p>
    <w:p>
      <w:r>
        <w:rPr>
          <w:b/>
        </w:rPr>
        <w:t>Status: ACTIVE - FINANCIAL CRIMES</w:t>
      </w:r>
    </w:p>
    <w:p>
      <w:r>
        <w:rPr>
          <w:b/>
        </w:rPr>
        <w:t>Documented Crimes:</w:t>
      </w:r>
    </w:p>
    <w:p>
      <w:pPr>
        <w:spacing w:after="120"/>
        <w:ind w:left="720" w:hanging="360"/>
      </w:pPr>
      <w:r>
        <w:t>•  OneWest Bank Predatory Lending: As CEO of OneWest Bank (2009-2015), oversaw aggressive foreclosure practices targeting low-income homeowners after purchasing IndyMac for $1.6 billion.</w:t>
      </w:r>
    </w:p>
    <w:p>
      <w:pPr>
        <w:spacing w:after="120"/>
        <w:ind w:left="720" w:hanging="360"/>
      </w:pPr>
      <w:r>
        <w:t>•  Tax Evasion Facilitation: As Treasury Secretary, led charge for Tax Cuts and Jobs Act (2017) that disproportionately benefited wealthy individuals and corporations.</w:t>
      </w:r>
    </w:p>
    <w:p>
      <w:pPr>
        <w:spacing w:after="120"/>
        <w:ind w:left="720" w:hanging="360"/>
      </w:pPr>
      <w:r>
        <w:t>•  Ethics Violations: Multiple investigations by Treasury's Office of Inspector General for use of government and military aircraft for personal travel.</w:t>
      </w:r>
    </w:p>
    <w:p>
      <w:r>
        <w:rPr>
          <w:b/>
        </w:rPr>
        <w:t>Current Activity:</w:t>
      </w:r>
    </w:p>
    <w:p>
      <w:r>
        <w:t>Mnuchin operates Dune Capital Management and remains active in Republican political fundraising. He served as Trump's national finance chairman in 2016 and was instrumental in shaping the 2017 tax legislation.</w:t>
      </w:r>
    </w:p>
    <w:p>
      <w:pPr>
        <w:pStyle w:val="Heading3"/>
      </w:pPr>
      <w:r>
        <w:t>6. EDWARD LAMPERT</w:t>
      </w:r>
    </w:p>
    <w:p>
      <w:r>
        <w:rPr>
          <w:b/>
        </w:rPr>
        <w:t>Bones Cohort: 1984</w:t>
      </w:r>
    </w:p>
    <w:p>
      <w:r>
        <w:rPr>
          <w:b/>
        </w:rPr>
        <w:t>Current Position: Chairman, Transformco and ESL Investments</w:t>
      </w:r>
    </w:p>
    <w:p>
      <w:r>
        <w:rPr>
          <w:b/>
        </w:rPr>
        <w:t>Net Worth: $2.2 billion (as of December 2025)</w:t>
      </w:r>
    </w:p>
    <w:p>
      <w:r>
        <w:rPr>
          <w:b/>
        </w:rPr>
        <w:t>Age: 63 (born July 19, 1962)</w:t>
      </w:r>
    </w:p>
    <w:p>
      <w:r>
        <w:rPr>
          <w:b/>
        </w:rPr>
        <w:t>Status: ACTIVE - CORPORATE LOOTING</w:t>
      </w:r>
    </w:p>
    <w:p>
      <w:r>
        <w:rPr>
          <w:b/>
        </w:rPr>
        <w:t>Current Criminal Activity:</w:t>
      </w:r>
    </w:p>
    <w:p>
      <w:pPr>
        <w:spacing w:after="120"/>
        <w:ind w:left="720" w:hanging="360"/>
      </w:pPr>
      <w:r>
        <w:t>•  Sears Pension Theft: In May 2019, threatened not to pay out $43 million in pension payments owed to 90,000 former Sears and Kmart employees and retirees.</w:t>
      </w:r>
    </w:p>
    <w:p>
      <w:pPr>
        <w:spacing w:after="120"/>
        <w:ind w:left="720" w:hanging="360"/>
      </w:pPr>
      <w:r>
        <w:t>•  Asset Stripping Scheme: Creditors alleged Lampert orchestrated 'multiyear and multifaceted scheme' to strip away Sears' assets and benefit from its decline.</w:t>
      </w:r>
    </w:p>
    <w:p>
      <w:pPr>
        <w:spacing w:after="120"/>
        <w:ind w:left="720" w:hanging="360"/>
      </w:pPr>
      <w:r>
        <w:t>•  Ongoing Litigation: December 2024 lawsuit for $177 million filed in bankruptcy court against Lampert by Trustee of Sears Hometown Stores.</w:t>
      </w:r>
    </w:p>
    <w:p>
      <w:r>
        <w:rPr>
          <w:b/>
        </w:rPr>
        <w:t>Current Activity (February 2026):</w:t>
      </w:r>
    </w:p>
    <w:p>
      <w:r>
        <w:t>According to Forbes (February 23, 2026), Lampert remains Chairman of Transform Holdco LLC and ESL Investments with estimated net worth of $2.2 billion. The $177 million lawsuit against him and companies he controls remains active in bankruptcy court.</w:t>
      </w:r>
    </w:p>
    <w:p>
      <w:pPr>
        <w:pStyle w:val="Heading2"/>
      </w:pPr>
      <w:r>
        <w:t>SECTION IV: WAR CRIMES ARCHITECTS - ACTIVE</w:t>
      </w:r>
    </w:p>
    <w:p>
      <w:pPr>
        <w:pStyle w:val="Heading3"/>
      </w:pPr>
      <w:r>
        <w:t>7. ROBERT KAGAN</w:t>
      </w:r>
    </w:p>
    <w:p>
      <w:r>
        <w:rPr>
          <w:b/>
        </w:rPr>
        <w:t>Bones Cohort: 1980</w:t>
      </w:r>
    </w:p>
    <w:p>
      <w:r>
        <w:rPr>
          <w:b/>
        </w:rPr>
        <w:t>Current Position: Stephen &amp; Barbara Friedman Senior Fellow, Brookings Institution</w:t>
      </w:r>
    </w:p>
    <w:p>
      <w:r>
        <w:rPr>
          <w:b/>
        </w:rPr>
        <w:t>Age: 67 (born September 26, 1958)</w:t>
      </w:r>
    </w:p>
    <w:p>
      <w:r>
        <w:rPr>
          <w:b/>
        </w:rPr>
        <w:t>Status: ACTIVE - PNAC CO-FOUNDER</w:t>
      </w:r>
    </w:p>
    <w:p>
      <w:r>
        <w:rPr>
          <w:b/>
        </w:rPr>
        <w:t>Current Criminal Activity:</w:t>
      </w:r>
    </w:p>
    <w:p>
      <w:pPr>
        <w:spacing w:after="120"/>
        <w:ind w:left="720" w:hanging="360"/>
      </w:pPr>
      <w:r>
        <w:t>•  Conspiracy to Commit Aggressive War: Co-authored PNAC's 'Rebuilding America's Defenses' (September 2000), blueprint for illegal Iraq invasion.</w:t>
      </w:r>
    </w:p>
    <w:p>
      <w:pPr>
        <w:spacing w:after="120"/>
        <w:ind w:left="720" w:hanging="360"/>
      </w:pPr>
      <w:r>
        <w:t>•  Ongoing War Advocacy: Continues to advocate for military intervention through Brookings Institution and The Atlantic.</w:t>
      </w:r>
    </w:p>
    <w:p>
      <w:pPr>
        <w:spacing w:after="120"/>
        <w:ind w:left="720" w:hanging="360"/>
      </w:pPr>
      <w:r>
        <w:t>•  Foreign Policy Initiative: Board member of organization promoting continued U.S. military engagement worldwide.</w:t>
      </w:r>
    </w:p>
    <w:p>
      <w:r>
        <w:rPr>
          <w:b/>
        </w:rPr>
        <w:t>Current Activity (January-February 2026):</w:t>
      </w:r>
    </w:p>
    <w:p>
      <w:r>
        <w:t>According to Brookings Institution records and The New Yorker (January 16, 2026), Kagan remains active as senior fellow and contributing writer for The Atlantic. He recently stated in a podcast: 'There is no chance in the world that Donald Trump is gonna allow himself to lose in the 2026 elections, because that will be the end of his ability to wield total power in the United States.' He continues to shape foreign policy discourse through Brookings and media appearances.</w:t>
      </w:r>
    </w:p>
    <w:p>
      <w:pPr>
        <w:pStyle w:val="Heading3"/>
      </w:pPr>
      <w:r>
        <w:t>8. JOHN KERRY</w:t>
      </w:r>
    </w:p>
    <w:p>
      <w:r>
        <w:rPr>
          <w:b/>
        </w:rPr>
        <w:t>Bones Cohort: 1966</w:t>
      </w:r>
    </w:p>
    <w:p>
      <w:r>
        <w:rPr>
          <w:b/>
        </w:rPr>
        <w:t>Former Positions: U.S. Senator, Secretary of State (2013-2017), Special Presidential Envoy for Climate</w:t>
      </w:r>
    </w:p>
    <w:p>
      <w:r>
        <w:rPr>
          <w:b/>
        </w:rPr>
        <w:t>Current Status: Private Citizen - Climate Advocate</w:t>
      </w:r>
    </w:p>
    <w:p>
      <w:r>
        <w:rPr>
          <w:b/>
        </w:rPr>
        <w:t>Age: 82 (born December 11, 1943)</w:t>
      </w:r>
    </w:p>
    <w:p>
      <w:r>
        <w:rPr>
          <w:b/>
        </w:rPr>
        <w:t>Status: ACTIVE - COVER-UP OF CRIMES</w:t>
      </w:r>
    </w:p>
    <w:p>
      <w:r>
        <w:rPr>
          <w:b/>
        </w:rPr>
        <w:t>Documented Crimes:</w:t>
      </w:r>
    </w:p>
    <w:p>
      <w:pPr>
        <w:spacing w:after="120"/>
        <w:ind w:left="720" w:hanging="360"/>
      </w:pPr>
      <w:r>
        <w:t>•  War Crimes (Vietnam): As Swift boat commander, transported Special Forces and CIA commandos carrying out torture and murder of civilians; boasted of killing wounded NLF guerrilla.</w:t>
      </w:r>
    </w:p>
    <w:p>
      <w:pPr>
        <w:spacing w:after="120"/>
        <w:ind w:left="720" w:hanging="360"/>
      </w:pPr>
      <w:r>
        <w:t>•  Cover-up of Government Drug Trafficking: As Senate committee chair (1980s), buried evidence of CIA drug trafficking in committee files still classified.</w:t>
      </w:r>
    </w:p>
    <w:p>
      <w:r>
        <w:rPr>
          <w:b/>
        </w:rPr>
        <w:t>Current Activity (November 2025 - February 2026):</w:t>
      </w:r>
    </w:p>
    <w:p>
      <w:r>
        <w:t>According to Chatham House (November 25, 2025) and PBS (November 18, 2025), Kerry remains active as climate advocate. He stated at Chatham House that under President Trump the US is turning 'from leader to denier, delayer and divider' on climate change. He criticized Trump's China policy as demonstrating 'ineptitude of the United States.' He continues to influence global climate policy discussions despite his documented war crimes in Vietnam.</w:t>
      </w:r>
    </w:p>
    <w:p>
      <w:pPr>
        <w:pStyle w:val="Heading2"/>
      </w:pPr>
      <w:r>
        <w:t>SECTION V: JUDICIAL CAPTURE - ACTIVE</w:t>
      </w:r>
    </w:p>
    <w:p>
      <w:pPr>
        <w:pStyle w:val="Heading3"/>
      </w:pPr>
      <w:r>
        <w:t>9. JAMES BOASBERG</w:t>
      </w:r>
    </w:p>
    <w:p>
      <w:r>
        <w:rPr>
          <w:b/>
        </w:rPr>
        <w:t>Bones Cohort: 1985</w:t>
      </w:r>
    </w:p>
    <w:p>
      <w:r>
        <w:rPr>
          <w:b/>
        </w:rPr>
        <w:t>Current Position: Chief Judge, U.S. District Court for the District of Columbia (since March 17, 2023)</w:t>
      </w:r>
    </w:p>
    <w:p>
      <w:r>
        <w:rPr>
          <w:b/>
        </w:rPr>
        <w:t>Age: 62 (born 1963)</w:t>
      </w:r>
    </w:p>
    <w:p>
      <w:r>
        <w:rPr>
          <w:b/>
        </w:rPr>
        <w:t>Status: ACTIVE - JUDICIAL CAPTURE</w:t>
      </w:r>
    </w:p>
    <w:p>
      <w:r>
        <w:rPr>
          <w:b/>
        </w:rPr>
        <w:t>Current Criminal Activity:</w:t>
      </w:r>
    </w:p>
    <w:p>
      <w:pPr>
        <w:spacing w:after="120"/>
        <w:ind w:left="720" w:hanging="360"/>
      </w:pPr>
      <w:r>
        <w:t>•  FISA Court Abuse: As Presiding Judge of FISC (2020-2021), oversaw surveillance authorizations later found to contain material omissions.</w:t>
      </w:r>
    </w:p>
    <w:p>
      <w:pPr>
        <w:spacing w:after="120"/>
        <w:ind w:left="720" w:hanging="360"/>
      </w:pPr>
      <w:r>
        <w:t>•  Kevin Clinesmith Sentencing: Gave probation to FBI lawyer who altered email used in FISA filing for Carter Page investigation, rather than recommended prison time.</w:t>
      </w:r>
    </w:p>
    <w:p>
      <w:pPr>
        <w:spacing w:after="120"/>
        <w:ind w:left="720" w:hanging="360"/>
      </w:pPr>
      <w:r>
        <w:t>•  Political Jurisdiction Manipulation: March 2025 ruling against Trump administration deportation flights triggered impeachment threats and jurisdiction-stripping proposals.</w:t>
      </w:r>
    </w:p>
    <w:p>
      <w:r>
        <w:rPr>
          <w:b/>
        </w:rPr>
        <w:t>Current Activity (February 2026):</w:t>
      </w:r>
    </w:p>
    <w:p>
      <w:r>
        <w:t>According to LiveMint (February 2, 2026), a federal appeals court dismissed DOJ misconduct complaint against Boasberg on January 31, 2026. The complaint, filed by Attorney General Pam Bondi on July 28, 2025, alleged he made 'improper public comments about President Trump and his Administration.' He remains Chief Judge of the DC District Court, considered one of the most influential judicial figures outside the Supreme Court.</w:t>
      </w:r>
    </w:p>
    <w:p>
      <w:pPr>
        <w:pStyle w:val="Heading2"/>
      </w:pPr>
      <w:r>
        <w:t>SECTION VI: MEDIA PROPAGANDA NETWORK - ACTIVE</w:t>
      </w:r>
    </w:p>
    <w:p>
      <w:pPr>
        <w:pStyle w:val="Heading3"/>
      </w:pPr>
      <w:r>
        <w:t>10. DANA MILBANK</w:t>
      </w:r>
    </w:p>
    <w:p>
      <w:r>
        <w:rPr>
          <w:b/>
        </w:rPr>
        <w:t>Bones Cohort: 1990</w:t>
      </w:r>
    </w:p>
    <w:p>
      <w:r>
        <w:rPr>
          <w:b/>
        </w:rPr>
        <w:t>Current Position: Futures Columnist, The Washington Post</w:t>
      </w:r>
    </w:p>
    <w:p>
      <w:r>
        <w:rPr>
          <w:b/>
        </w:rPr>
        <w:t>Age: 57 (born 1968)</w:t>
      </w:r>
    </w:p>
    <w:p>
      <w:r>
        <w:rPr>
          <w:b/>
        </w:rPr>
        <w:t>Status: ACTIVE - MEDIA MANIPULATION</w:t>
      </w:r>
    </w:p>
    <w:p>
      <w:r>
        <w:rPr>
          <w:b/>
        </w:rPr>
        <w:t>Current Criminal Activity:</w:t>
      </w:r>
    </w:p>
    <w:p>
      <w:pPr>
        <w:spacing w:after="120"/>
        <w:ind w:left="720" w:hanging="360"/>
      </w:pPr>
      <w:r>
        <w:t>•  Media Gatekeeping: As Washington Post columnist with Bones membership, participates in information control benefiting the Order.</w:t>
      </w:r>
    </w:p>
    <w:p>
      <w:pPr>
        <w:spacing w:after="120"/>
        <w:ind w:left="720" w:hanging="360"/>
      </w:pPr>
      <w:r>
        <w:t>•  Conflict of Interest: Maintains allegiance to secret society while claiming journalistic objectivity.</w:t>
      </w:r>
    </w:p>
    <w:p>
      <w:r>
        <w:rPr>
          <w:b/>
        </w:rPr>
        <w:t>Current Activity (February 2026):</w:t>
      </w:r>
    </w:p>
    <w:p>
      <w:r>
        <w:t>According to Washington Post records (February 2026), Milbank remains a Futures columnist writing weekly about attempts to 'rehumanize' during times of anxiety. He is the author of five books on politics including 'The Destructionists' and 'Homo Politicus.' He joined The Post in 2000 and continues to shape political discourse while maintaining his Bones allegiance.</w:t>
      </w:r>
    </w:p>
    <w:p>
      <w:pPr>
        <w:pStyle w:val="Heading3"/>
      </w:pPr>
      <w:r>
        <w:t>11. DAVID LEONHARDT</w:t>
      </w:r>
    </w:p>
    <w:p>
      <w:r>
        <w:rPr>
          <w:b/>
        </w:rPr>
        <w:t>Bones Cohort: 1994</w:t>
      </w:r>
    </w:p>
    <w:p>
      <w:r>
        <w:rPr>
          <w:b/>
        </w:rPr>
        <w:t>Current Position: Editorial Director, The New York Times Opinion (since March 2025)</w:t>
      </w:r>
    </w:p>
    <w:p>
      <w:r>
        <w:rPr>
          <w:b/>
        </w:rPr>
        <w:t>Age: 51 (born 1973)</w:t>
      </w:r>
    </w:p>
    <w:p>
      <w:r>
        <w:rPr>
          <w:b/>
        </w:rPr>
        <w:t>Status: ACTIVE - EDITORIAL CAPTURE</w:t>
      </w:r>
    </w:p>
    <w:p>
      <w:r>
        <w:rPr>
          <w:b/>
        </w:rPr>
        <w:t>Current Criminal Activity:</w:t>
      </w:r>
    </w:p>
    <w:p>
      <w:pPr>
        <w:spacing w:after="120"/>
        <w:ind w:left="720" w:hanging="360"/>
      </w:pPr>
      <w:r>
        <w:t>•  Editorial Control: Oversees editorial content at one of the world's most influential newspapers while maintaining Bones allegiance.</w:t>
      </w:r>
    </w:p>
    <w:p>
      <w:pPr>
        <w:spacing w:after="120"/>
        <w:ind w:left="720" w:hanging="360"/>
      </w:pPr>
      <w:r>
        <w:t>•  Agenda Setting: As anchor of 'The Morning' newsletter, sets daily news agenda for millions of readers.</w:t>
      </w:r>
    </w:p>
    <w:p>
      <w:r>
        <w:rPr>
          <w:b/>
        </w:rPr>
        <w:t>Current Activity (February 2026):</w:t>
      </w:r>
    </w:p>
    <w:p>
      <w:r>
        <w:t>According to New York Times Company press release (February 28, 2025), Leonhardt assumed role as Editorial Director of Times Opinion in March 2025. He oversees the editing and writing of editorials and serves on the leadership team. He was previously anchor of The Morning, the Times's flagship newsletter, and founding editor of The Upshot.</w:t>
      </w:r>
    </w:p>
    <w:p>
      <w:pPr>
        <w:pStyle w:val="Heading2"/>
      </w:pPr>
      <w:r>
        <w:t>SECTION VII: OTHER LIVING MEMBERS - RETIRED BUT COMPLICIT</w:t>
      </w:r>
    </w:p>
    <w:p>
      <w:pPr>
        <w:pStyle w:val="Heading3"/>
      </w:pPr>
      <w:r>
        <w:t>12. VICTOR ASHE</w:t>
      </w:r>
    </w:p>
    <w:p>
      <w:r>
        <w:rPr>
          <w:b/>
        </w:rPr>
        <w:t>Bones Cohort: 1967</w:t>
      </w:r>
    </w:p>
    <w:p>
      <w:r>
        <w:rPr>
          <w:b/>
        </w:rPr>
        <w:t>Former Positions: Mayor of Knoxville (1987-2003), U.S. Ambassador to Poland (2004-2009)</w:t>
      </w:r>
    </w:p>
    <w:p>
      <w:r>
        <w:rPr>
          <w:b/>
        </w:rPr>
        <w:t>Current Status: Retired - Board Memberships</w:t>
      </w:r>
    </w:p>
    <w:p>
      <w:r>
        <w:rPr>
          <w:b/>
        </w:rPr>
        <w:t>Age: 81 (born January 1, 1945)</w:t>
      </w:r>
    </w:p>
    <w:p>
      <w:r>
        <w:t>Living but retired from active government service. Remains member of Bohemian Club and maintains Bones network connections.</w:t>
      </w:r>
    </w:p>
    <w:p>
      <w:pPr>
        <w:pStyle w:val="Heading3"/>
      </w:pPr>
      <w:r>
        <w:t>13. ROY AUSTIN</w:t>
      </w:r>
    </w:p>
    <w:p>
      <w:r>
        <w:rPr>
          <w:b/>
        </w:rPr>
        <w:t>Bones Cohort: 1968</w:t>
      </w:r>
    </w:p>
    <w:p>
      <w:r>
        <w:rPr>
          <w:b/>
        </w:rPr>
        <w:t>Former Position: U.S. Ambassador to Trinidad and Tobago (2001-2009)</w:t>
      </w:r>
    </w:p>
    <w:p>
      <w:r>
        <w:rPr>
          <w:b/>
        </w:rPr>
        <w:t>Current Status: Retired</w:t>
      </w:r>
    </w:p>
    <w:p>
      <w:r>
        <w:rPr>
          <w:b/>
        </w:rPr>
        <w:t>Age: 86 (born 1939)</w:t>
      </w:r>
    </w:p>
    <w:p>
      <w:r>
        <w:t>Living but retired. Appointed by George W. Bush to ambassadorial post as fellow Bonesman.</w:t>
      </w:r>
    </w:p>
    <w:p>
      <w:pPr>
        <w:pStyle w:val="Heading3"/>
      </w:pPr>
      <w:r>
        <w:t>14. REX COWDRY</w:t>
      </w:r>
    </w:p>
    <w:p>
      <w:r>
        <w:rPr>
          <w:b/>
        </w:rPr>
        <w:t>Bones Cohort: 1968</w:t>
      </w:r>
    </w:p>
    <w:p>
      <w:r>
        <w:rPr>
          <w:b/>
        </w:rPr>
        <w:t>Former Position: Acting Director, National Institute of Mental Health (1994-1996)</w:t>
      </w:r>
    </w:p>
    <w:p>
      <w:r>
        <w:rPr>
          <w:b/>
        </w:rPr>
        <w:t>Current Status: Retired</w:t>
      </w:r>
    </w:p>
    <w:p>
      <w:r>
        <w:t>Living but retired from government service.</w:t>
      </w:r>
    </w:p>
    <w:p>
      <w:pPr>
        <w:pStyle w:val="Heading3"/>
      </w:pPr>
      <w:r>
        <w:t>15. ROBERT MCCALLUM JR.</w:t>
      </w:r>
    </w:p>
    <w:p>
      <w:r>
        <w:rPr>
          <w:b/>
        </w:rPr>
        <w:t>Bones Cohort: 1968</w:t>
      </w:r>
    </w:p>
    <w:p>
      <w:r>
        <w:rPr>
          <w:b/>
        </w:rPr>
        <w:t>Former Positions: Associate Attorney General, Ambassador to Australia</w:t>
      </w:r>
    </w:p>
    <w:p>
      <w:r>
        <w:rPr>
          <w:b/>
        </w:rPr>
        <w:t>Current Status: Retired</w:t>
      </w:r>
    </w:p>
    <w:p>
      <w:r>
        <w:t>Living but retired from government service.</w:t>
      </w:r>
    </w:p>
    <w:p>
      <w:pPr>
        <w:pStyle w:val="Heading2"/>
      </w:pPr>
      <w:r>
        <w:t>SECTION VIII: SUMMARY OF LIVING CRIMINAL PERSONS</w:t>
      </w:r>
    </w:p>
    <w:p>
      <w:r>
        <w:t>The following table summarizes all LIVING criminal persons identified in this forensic audit who remain active as of February 28, 2026:</w:t>
      </w:r>
    </w:p>
    <w:tbl>
      <w:tblPr>
        <w:tblW w:w="5000" w:type="pct"/>
        <w:tblBorders>
          <w:top w:val="single" w:color="1a365d" w:sz="8"/>
          <w:left w:val="nil"/>
          <w:bottom w:val="single" w:color="1a365d" w:sz="8"/>
          <w:right w:val="nil"/>
          <w:insideH w:val="single" w:color="d1d5db" w:sz="4"/>
          <w:insideV w:val="nil"/>
        </w:tblBorders>
        <w:tblCellMar>
          <w:top w:w="100" w:type="dxa"/>
          <w:left w:w="150" w:type="dxa"/>
          <w:bottom w:w="100" w:type="dxa"/>
          <w:right w:w="150" w:type="dxa"/>
        </w:tblCellMar>
      </w:tblPr>
      <w:tblGrid>
        <w:gridCol w:w="2500"/>
        <w:gridCol w:w="1500"/>
        <w:gridCol w:w="3500"/>
        <w:gridCol w:w="2500"/>
      </w:tblGrid>
      <w:tr>
        <w:trPr>
          <w:tblHeader/>
          <w:trHeight w:val="400" w:hRule="atLeast"/>
        </w:trPr>
        <w:tc>
          <w:tcPr>
            <w:tcW w:w="0" w:type="auto"/>
            <w:tcBorders>
              <w:bottom w:val="single" w:color="1a365d" w:sz="6"/>
            </w:tcBorders>
            <w:shd w:val="clear" w:fill="e2e8f0"/>
            <w:vAlign w:val="center"/>
          </w:tcPr>
          <w:p>
            <w:pPr>
              <w:spacing w:before="0" w:after="0"/>
              <w:jc w:val="center"/>
            </w:pPr>
            <w:r>
              <w:rPr>
                <w:b/>
                <w:color w:val="1a202c"/>
                <w:sz w:val="22"/>
              </w:rPr>
              <w:t>Name</w:t>
            </w:r>
          </w:p>
        </w:tc>
        <w:tc>
          <w:tcPr>
            <w:tcW w:w="0" w:type="auto"/>
            <w:tcBorders>
              <w:bottom w:val="single" w:color="1a365d" w:sz="6"/>
            </w:tcBorders>
            <w:shd w:val="clear" w:fill="e2e8f0"/>
            <w:vAlign w:val="center"/>
          </w:tcPr>
          <w:p>
            <w:pPr>
              <w:spacing w:before="0" w:after="0"/>
              <w:jc w:val="center"/>
            </w:pPr>
            <w:r>
              <w:rPr>
                <w:b/>
                <w:color w:val="1a202c"/>
                <w:sz w:val="22"/>
              </w:rPr>
              <w:t>Cohort</w:t>
            </w:r>
          </w:p>
        </w:tc>
        <w:tc>
          <w:tcPr>
            <w:tcW w:w="0" w:type="auto"/>
            <w:tcBorders>
              <w:bottom w:val="single" w:color="1a365d" w:sz="6"/>
            </w:tcBorders>
            <w:shd w:val="clear" w:fill="e2e8f0"/>
            <w:vAlign w:val="center"/>
          </w:tcPr>
          <w:p>
            <w:pPr>
              <w:spacing w:before="0" w:after="0"/>
              <w:jc w:val="center"/>
            </w:pPr>
            <w:r>
              <w:rPr>
                <w:b/>
                <w:color w:val="1a202c"/>
                <w:sz w:val="22"/>
              </w:rPr>
              <w:t>Current Position</w:t>
            </w:r>
          </w:p>
        </w:tc>
        <w:tc>
          <w:tcPr>
            <w:tcW w:w="0" w:type="auto"/>
            <w:tcBorders>
              <w:bottom w:val="single" w:color="1a365d" w:sz="6"/>
            </w:tcBorders>
            <w:shd w:val="clear" w:fill="e2e8f0"/>
            <w:vAlign w:val="center"/>
          </w:tcPr>
          <w:p>
            <w:pPr>
              <w:spacing w:before="0" w:after="0"/>
              <w:jc w:val="center"/>
            </w:pPr>
            <w:r>
              <w:rPr>
                <w:b/>
                <w:color w:val="1a202c"/>
                <w:sz w:val="22"/>
              </w:rPr>
              <w:t>Status</w:t>
            </w:r>
          </w:p>
        </w:tc>
      </w:tr>
      <w:tr>
        <w:trPr>
          <w:trHeight w:val="350" w:hRule="atLeast"/>
        </w:trPr>
        <w:tc>
          <w:tcPr>
            <w:tcW w:w="0" w:type="auto"/>
            <w:vAlign w:val="center"/>
          </w:tcPr>
          <w:p>
            <w:pPr>
              <w:spacing w:before="0" w:after="0"/>
              <w:jc w:val="left"/>
            </w:pPr>
            <w:r>
              <w:rPr>
                <w:color w:val="1a202c"/>
                <w:sz w:val="22"/>
              </w:rPr>
              <w:t>Austan Goolsbee</w:t>
            </w:r>
          </w:p>
        </w:tc>
        <w:tc>
          <w:tcPr>
            <w:tcW w:w="0" w:type="auto"/>
            <w:vAlign w:val="center"/>
          </w:tcPr>
          <w:p>
            <w:pPr>
              <w:spacing w:before="0" w:after="0"/>
              <w:jc w:val="left"/>
            </w:pPr>
            <w:r>
              <w:rPr>
                <w:color w:val="1a202c"/>
                <w:sz w:val="22"/>
              </w:rPr>
              <w:t>1991</w:t>
            </w:r>
          </w:p>
        </w:tc>
        <w:tc>
          <w:tcPr>
            <w:tcW w:w="0" w:type="auto"/>
            <w:vAlign w:val="center"/>
          </w:tcPr>
          <w:p>
            <w:pPr>
              <w:spacing w:before="0" w:after="0"/>
              <w:jc w:val="left"/>
            </w:pPr>
            <w:r>
              <w:rPr>
                <w:color w:val="1a202c"/>
                <w:sz w:val="22"/>
              </w:rPr>
              <w:t>Chicago Fed President</w:t>
            </w:r>
          </w:p>
        </w:tc>
        <w:tc>
          <w:tcPr>
            <w:tcW w:w="0" w:type="auto"/>
            <w:vAlign w:val="center"/>
          </w:tcPr>
          <w:p>
            <w:pPr>
              <w:spacing w:before="0" w:after="0"/>
              <w:jc w:val="left"/>
            </w:pPr>
            <w:r>
              <w:rPr>
                <w:color w:val="1a202c"/>
                <w:sz w:val="22"/>
              </w:rPr>
              <w:t>ACTIVE - RICO</w:t>
            </w:r>
          </w:p>
        </w:tc>
      </w:tr>
      <w:tr>
        <w:trPr>
          <w:trHeight w:val="350" w:hRule="atLeast"/>
        </w:trPr>
        <w:tc>
          <w:tcPr>
            <w:tcW w:w="0" w:type="auto"/>
            <w:vAlign w:val="center"/>
          </w:tcPr>
          <w:p>
            <w:pPr>
              <w:spacing w:before="0" w:after="0"/>
              <w:jc w:val="left"/>
            </w:pPr>
            <w:r>
              <w:rPr>
                <w:color w:val="1a202c"/>
                <w:sz w:val="22"/>
              </w:rPr>
              <w:t>Andrew Klaber</w:t>
            </w:r>
          </w:p>
        </w:tc>
        <w:tc>
          <w:tcPr>
            <w:tcW w:w="0" w:type="auto"/>
            <w:vAlign w:val="center"/>
          </w:tcPr>
          <w:p>
            <w:pPr>
              <w:spacing w:before="0" w:after="0"/>
              <w:jc w:val="left"/>
            </w:pPr>
            <w:r>
              <w:rPr>
                <w:color w:val="1a202c"/>
                <w:sz w:val="22"/>
              </w:rPr>
              <w:t>Unknown</w:t>
            </w:r>
          </w:p>
        </w:tc>
        <w:tc>
          <w:tcPr>
            <w:tcW w:w="0" w:type="auto"/>
            <w:vAlign w:val="center"/>
          </w:tcPr>
          <w:p>
            <w:pPr>
              <w:spacing w:before="0" w:after="0"/>
              <w:jc w:val="left"/>
            </w:pPr>
            <w:r>
              <w:rPr>
                <w:color w:val="1a202c"/>
                <w:sz w:val="22"/>
              </w:rPr>
              <w:t>RTA Board Chair</w:t>
            </w:r>
          </w:p>
        </w:tc>
        <w:tc>
          <w:tcPr>
            <w:tcW w:w="0" w:type="auto"/>
            <w:vAlign w:val="center"/>
          </w:tcPr>
          <w:p>
            <w:pPr>
              <w:spacing w:before="0" w:after="0"/>
              <w:jc w:val="left"/>
            </w:pPr>
            <w:r>
              <w:rPr>
                <w:color w:val="1a202c"/>
                <w:sz w:val="22"/>
              </w:rPr>
              <w:t>ACTIVE - RICO</w:t>
            </w:r>
          </w:p>
        </w:tc>
      </w:tr>
      <w:tr>
        <w:trPr>
          <w:trHeight w:val="350" w:hRule="atLeast"/>
        </w:trPr>
        <w:tc>
          <w:tcPr>
            <w:tcW w:w="0" w:type="auto"/>
            <w:vAlign w:val="center"/>
          </w:tcPr>
          <w:p>
            <w:pPr>
              <w:spacing w:before="0" w:after="0"/>
              <w:jc w:val="left"/>
            </w:pPr>
            <w:r>
              <w:rPr>
                <w:color w:val="1a202c"/>
                <w:sz w:val="22"/>
              </w:rPr>
              <w:t>George W. Bush</w:t>
            </w:r>
          </w:p>
        </w:tc>
        <w:tc>
          <w:tcPr>
            <w:tcW w:w="0" w:type="auto"/>
            <w:vAlign w:val="center"/>
          </w:tcPr>
          <w:p>
            <w:pPr>
              <w:spacing w:before="0" w:after="0"/>
              <w:jc w:val="left"/>
            </w:pPr>
            <w:r>
              <w:rPr>
                <w:color w:val="1a202c"/>
                <w:sz w:val="22"/>
              </w:rPr>
              <w:t>1968</w:t>
            </w:r>
          </w:p>
        </w:tc>
        <w:tc>
          <w:tcPr>
            <w:tcW w:w="0" w:type="auto"/>
            <w:vAlign w:val="center"/>
          </w:tcPr>
          <w:p>
            <w:pPr>
              <w:spacing w:before="0" w:after="0"/>
              <w:jc w:val="left"/>
            </w:pPr>
            <w:r>
              <w:rPr>
                <w:color w:val="1a202c"/>
                <w:sz w:val="22"/>
              </w:rPr>
              <w:t>Former President</w:t>
            </w:r>
          </w:p>
        </w:tc>
        <w:tc>
          <w:tcPr>
            <w:tcW w:w="0" w:type="auto"/>
            <w:vAlign w:val="center"/>
          </w:tcPr>
          <w:p>
            <w:pPr>
              <w:spacing w:before="0" w:after="0"/>
              <w:jc w:val="left"/>
            </w:pPr>
            <w:r>
              <w:rPr>
                <w:color w:val="1a202c"/>
                <w:sz w:val="22"/>
              </w:rPr>
              <w:t>ACTIVE - War Crimes</w:t>
            </w:r>
          </w:p>
        </w:tc>
      </w:tr>
      <w:tr>
        <w:trPr>
          <w:trHeight w:val="350" w:hRule="atLeast"/>
        </w:trPr>
        <w:tc>
          <w:tcPr>
            <w:tcW w:w="0" w:type="auto"/>
            <w:vAlign w:val="center"/>
          </w:tcPr>
          <w:p>
            <w:pPr>
              <w:spacing w:before="0" w:after="0"/>
              <w:jc w:val="left"/>
            </w:pPr>
            <w:r>
              <w:rPr>
                <w:color w:val="1a202c"/>
                <w:sz w:val="22"/>
              </w:rPr>
              <w:t>Stephen Schwarzman</w:t>
            </w:r>
          </w:p>
        </w:tc>
        <w:tc>
          <w:tcPr>
            <w:tcW w:w="0" w:type="auto"/>
            <w:vAlign w:val="center"/>
          </w:tcPr>
          <w:p>
            <w:pPr>
              <w:spacing w:before="0" w:after="0"/>
              <w:jc w:val="left"/>
            </w:pPr>
            <w:r>
              <w:rPr>
                <w:color w:val="1a202c"/>
                <w:sz w:val="22"/>
              </w:rPr>
              <w:t>1969</w:t>
            </w:r>
          </w:p>
        </w:tc>
        <w:tc>
          <w:tcPr>
            <w:tcW w:w="0" w:type="auto"/>
            <w:vAlign w:val="center"/>
          </w:tcPr>
          <w:p>
            <w:pPr>
              <w:spacing w:before="0" w:after="0"/>
              <w:jc w:val="left"/>
            </w:pPr>
            <w:r>
              <w:rPr>
                <w:color w:val="1a202c"/>
                <w:sz w:val="22"/>
              </w:rPr>
              <w:t>Blackstone CEO</w:t>
            </w:r>
          </w:p>
        </w:tc>
        <w:tc>
          <w:tcPr>
            <w:tcW w:w="0" w:type="auto"/>
            <w:vAlign w:val="center"/>
          </w:tcPr>
          <w:p>
            <w:pPr>
              <w:spacing w:before="0" w:after="0"/>
              <w:jc w:val="left"/>
            </w:pPr>
            <w:r>
              <w:rPr>
                <w:color w:val="1a202c"/>
                <w:sz w:val="22"/>
              </w:rPr>
              <w:t>ACTIVE - Fraud</w:t>
            </w:r>
          </w:p>
        </w:tc>
      </w:tr>
      <w:tr>
        <w:trPr>
          <w:trHeight w:val="350" w:hRule="atLeast"/>
        </w:trPr>
        <w:tc>
          <w:tcPr>
            <w:tcW w:w="0" w:type="auto"/>
            <w:vAlign w:val="center"/>
          </w:tcPr>
          <w:p>
            <w:pPr>
              <w:spacing w:before="0" w:after="0"/>
              <w:jc w:val="left"/>
            </w:pPr>
            <w:r>
              <w:rPr>
                <w:color w:val="1a202c"/>
                <w:sz w:val="22"/>
              </w:rPr>
              <w:t>Steven Mnuchin</w:t>
            </w:r>
          </w:p>
        </w:tc>
        <w:tc>
          <w:tcPr>
            <w:tcW w:w="0" w:type="auto"/>
            <w:vAlign w:val="center"/>
          </w:tcPr>
          <w:p>
            <w:pPr>
              <w:spacing w:before="0" w:after="0"/>
              <w:jc w:val="left"/>
            </w:pPr>
            <w:r>
              <w:rPr>
                <w:color w:val="1a202c"/>
                <w:sz w:val="22"/>
              </w:rPr>
              <w:t>1985</w:t>
            </w:r>
          </w:p>
        </w:tc>
        <w:tc>
          <w:tcPr>
            <w:tcW w:w="0" w:type="auto"/>
            <w:vAlign w:val="center"/>
          </w:tcPr>
          <w:p>
            <w:pPr>
              <w:spacing w:before="0" w:after="0"/>
              <w:jc w:val="left"/>
            </w:pPr>
            <w:r>
              <w:rPr>
                <w:color w:val="1a202c"/>
                <w:sz w:val="22"/>
              </w:rPr>
              <w:t>Private Investor</w:t>
            </w:r>
          </w:p>
        </w:tc>
        <w:tc>
          <w:tcPr>
            <w:tcW w:w="0" w:type="auto"/>
            <w:vAlign w:val="center"/>
          </w:tcPr>
          <w:p>
            <w:pPr>
              <w:spacing w:before="0" w:after="0"/>
              <w:jc w:val="left"/>
            </w:pPr>
            <w:r>
              <w:rPr>
                <w:color w:val="1a202c"/>
                <w:sz w:val="22"/>
              </w:rPr>
              <w:t>ACTIVE - Financial Crimes</w:t>
            </w:r>
          </w:p>
        </w:tc>
      </w:tr>
      <w:tr>
        <w:trPr>
          <w:trHeight w:val="350" w:hRule="atLeast"/>
        </w:trPr>
        <w:tc>
          <w:tcPr>
            <w:tcW w:w="0" w:type="auto"/>
            <w:vAlign w:val="center"/>
          </w:tcPr>
          <w:p>
            <w:pPr>
              <w:spacing w:before="0" w:after="0"/>
              <w:jc w:val="left"/>
            </w:pPr>
            <w:r>
              <w:rPr>
                <w:color w:val="1a202c"/>
                <w:sz w:val="22"/>
              </w:rPr>
              <w:t>Edward Lampert</w:t>
            </w:r>
          </w:p>
        </w:tc>
        <w:tc>
          <w:tcPr>
            <w:tcW w:w="0" w:type="auto"/>
            <w:vAlign w:val="center"/>
          </w:tcPr>
          <w:p>
            <w:pPr>
              <w:spacing w:before="0" w:after="0"/>
              <w:jc w:val="left"/>
            </w:pPr>
            <w:r>
              <w:rPr>
                <w:color w:val="1a202c"/>
                <w:sz w:val="22"/>
              </w:rPr>
              <w:t>1984</w:t>
            </w:r>
          </w:p>
        </w:tc>
        <w:tc>
          <w:tcPr>
            <w:tcW w:w="0" w:type="auto"/>
            <w:vAlign w:val="center"/>
          </w:tcPr>
          <w:p>
            <w:pPr>
              <w:spacing w:before="0" w:after="0"/>
              <w:jc w:val="left"/>
            </w:pPr>
            <w:r>
              <w:rPr>
                <w:color w:val="1a202c"/>
                <w:sz w:val="22"/>
              </w:rPr>
              <w:t>Transformco Chairman</w:t>
            </w:r>
          </w:p>
        </w:tc>
        <w:tc>
          <w:tcPr>
            <w:tcW w:w="0" w:type="auto"/>
            <w:vAlign w:val="center"/>
          </w:tcPr>
          <w:p>
            <w:pPr>
              <w:spacing w:before="0" w:after="0"/>
              <w:jc w:val="left"/>
            </w:pPr>
            <w:r>
              <w:rPr>
                <w:color w:val="1a202c"/>
                <w:sz w:val="22"/>
              </w:rPr>
              <w:t>ACTIVE - Pension Theft</w:t>
            </w:r>
          </w:p>
        </w:tc>
      </w:tr>
      <w:tr>
        <w:trPr>
          <w:trHeight w:val="350" w:hRule="atLeast"/>
        </w:trPr>
        <w:tc>
          <w:tcPr>
            <w:tcW w:w="0" w:type="auto"/>
            <w:vAlign w:val="center"/>
          </w:tcPr>
          <w:p>
            <w:pPr>
              <w:spacing w:before="0" w:after="0"/>
              <w:jc w:val="left"/>
            </w:pPr>
            <w:r>
              <w:rPr>
                <w:color w:val="1a202c"/>
                <w:sz w:val="22"/>
              </w:rPr>
              <w:t>Robert Kagan</w:t>
            </w:r>
          </w:p>
        </w:tc>
        <w:tc>
          <w:tcPr>
            <w:tcW w:w="0" w:type="auto"/>
            <w:vAlign w:val="center"/>
          </w:tcPr>
          <w:p>
            <w:pPr>
              <w:spacing w:before="0" w:after="0"/>
              <w:jc w:val="left"/>
            </w:pPr>
            <w:r>
              <w:rPr>
                <w:color w:val="1a202c"/>
                <w:sz w:val="22"/>
              </w:rPr>
              <w:t>1980</w:t>
            </w:r>
          </w:p>
        </w:tc>
        <w:tc>
          <w:tcPr>
            <w:tcW w:w="0" w:type="auto"/>
            <w:vAlign w:val="center"/>
          </w:tcPr>
          <w:p>
            <w:pPr>
              <w:spacing w:before="0" w:after="0"/>
              <w:jc w:val="left"/>
            </w:pPr>
            <w:r>
              <w:rPr>
                <w:color w:val="1a202c"/>
                <w:sz w:val="22"/>
              </w:rPr>
              <w:t>Brookings Senior Fellow</w:t>
            </w:r>
          </w:p>
        </w:tc>
        <w:tc>
          <w:tcPr>
            <w:tcW w:w="0" w:type="auto"/>
            <w:vAlign w:val="center"/>
          </w:tcPr>
          <w:p>
            <w:pPr>
              <w:spacing w:before="0" w:after="0"/>
              <w:jc w:val="left"/>
            </w:pPr>
            <w:r>
              <w:rPr>
                <w:color w:val="1a202c"/>
                <w:sz w:val="22"/>
              </w:rPr>
              <w:t>ACTIVE - PNAC</w:t>
            </w:r>
          </w:p>
        </w:tc>
      </w:tr>
      <w:tr>
        <w:trPr>
          <w:trHeight w:val="350" w:hRule="atLeast"/>
        </w:trPr>
        <w:tc>
          <w:tcPr>
            <w:tcW w:w="0" w:type="auto"/>
            <w:vAlign w:val="center"/>
          </w:tcPr>
          <w:p>
            <w:pPr>
              <w:spacing w:before="0" w:after="0"/>
              <w:jc w:val="left"/>
            </w:pPr>
            <w:r>
              <w:rPr>
                <w:color w:val="1a202c"/>
                <w:sz w:val="22"/>
              </w:rPr>
              <w:t>John Kerry</w:t>
            </w:r>
          </w:p>
        </w:tc>
        <w:tc>
          <w:tcPr>
            <w:tcW w:w="0" w:type="auto"/>
            <w:vAlign w:val="center"/>
          </w:tcPr>
          <w:p>
            <w:pPr>
              <w:spacing w:before="0" w:after="0"/>
              <w:jc w:val="left"/>
            </w:pPr>
            <w:r>
              <w:rPr>
                <w:color w:val="1a202c"/>
                <w:sz w:val="22"/>
              </w:rPr>
              <w:t>1966</w:t>
            </w:r>
          </w:p>
        </w:tc>
        <w:tc>
          <w:tcPr>
            <w:tcW w:w="0" w:type="auto"/>
            <w:vAlign w:val="center"/>
          </w:tcPr>
          <w:p>
            <w:pPr>
              <w:spacing w:before="0" w:after="0"/>
              <w:jc w:val="left"/>
            </w:pPr>
            <w:r>
              <w:rPr>
                <w:color w:val="1a202c"/>
                <w:sz w:val="22"/>
              </w:rPr>
              <w:t>Climate Advocate</w:t>
            </w:r>
          </w:p>
        </w:tc>
        <w:tc>
          <w:tcPr>
            <w:tcW w:w="0" w:type="auto"/>
            <w:vAlign w:val="center"/>
          </w:tcPr>
          <w:p>
            <w:pPr>
              <w:spacing w:before="0" w:after="0"/>
              <w:jc w:val="left"/>
            </w:pPr>
            <w:r>
              <w:rPr>
                <w:color w:val="1a202c"/>
                <w:sz w:val="22"/>
              </w:rPr>
              <w:t>ACTIVE - Cover-up</w:t>
            </w:r>
          </w:p>
        </w:tc>
      </w:tr>
      <w:tr>
        <w:trPr>
          <w:trHeight w:val="350" w:hRule="atLeast"/>
        </w:trPr>
        <w:tc>
          <w:tcPr>
            <w:tcW w:w="0" w:type="auto"/>
            <w:vAlign w:val="center"/>
          </w:tcPr>
          <w:p>
            <w:pPr>
              <w:spacing w:before="0" w:after="0"/>
              <w:jc w:val="left"/>
            </w:pPr>
            <w:r>
              <w:rPr>
                <w:color w:val="1a202c"/>
                <w:sz w:val="22"/>
              </w:rPr>
              <w:t>James Boasberg</w:t>
            </w:r>
          </w:p>
        </w:tc>
        <w:tc>
          <w:tcPr>
            <w:tcW w:w="0" w:type="auto"/>
            <w:vAlign w:val="center"/>
          </w:tcPr>
          <w:p>
            <w:pPr>
              <w:spacing w:before="0" w:after="0"/>
              <w:jc w:val="left"/>
            </w:pPr>
            <w:r>
              <w:rPr>
                <w:color w:val="1a202c"/>
                <w:sz w:val="22"/>
              </w:rPr>
              <w:t>1985</w:t>
            </w:r>
          </w:p>
        </w:tc>
        <w:tc>
          <w:tcPr>
            <w:tcW w:w="0" w:type="auto"/>
            <w:vAlign w:val="center"/>
          </w:tcPr>
          <w:p>
            <w:pPr>
              <w:spacing w:before="0" w:after="0"/>
              <w:jc w:val="left"/>
            </w:pPr>
            <w:r>
              <w:rPr>
                <w:color w:val="1a202c"/>
                <w:sz w:val="22"/>
              </w:rPr>
              <w:t>DC Chief Judge</w:t>
            </w:r>
          </w:p>
        </w:tc>
        <w:tc>
          <w:tcPr>
            <w:tcW w:w="0" w:type="auto"/>
            <w:vAlign w:val="center"/>
          </w:tcPr>
          <w:p>
            <w:pPr>
              <w:spacing w:before="0" w:after="0"/>
              <w:jc w:val="left"/>
            </w:pPr>
            <w:r>
              <w:rPr>
                <w:color w:val="1a202c"/>
                <w:sz w:val="22"/>
              </w:rPr>
              <w:t>ACTIVE - Judicial Capture</w:t>
            </w:r>
          </w:p>
        </w:tc>
      </w:tr>
      <w:tr>
        <w:trPr>
          <w:trHeight w:val="350" w:hRule="atLeast"/>
        </w:trPr>
        <w:tc>
          <w:tcPr>
            <w:tcW w:w="0" w:type="auto"/>
            <w:vAlign w:val="center"/>
          </w:tcPr>
          <w:p>
            <w:pPr>
              <w:spacing w:before="0" w:after="0"/>
              <w:jc w:val="left"/>
            </w:pPr>
            <w:r>
              <w:rPr>
                <w:color w:val="1a202c"/>
                <w:sz w:val="22"/>
              </w:rPr>
              <w:t>Dana Milbank</w:t>
            </w:r>
          </w:p>
        </w:tc>
        <w:tc>
          <w:tcPr>
            <w:tcW w:w="0" w:type="auto"/>
            <w:vAlign w:val="center"/>
          </w:tcPr>
          <w:p>
            <w:pPr>
              <w:spacing w:before="0" w:after="0"/>
              <w:jc w:val="left"/>
            </w:pPr>
            <w:r>
              <w:rPr>
                <w:color w:val="1a202c"/>
                <w:sz w:val="22"/>
              </w:rPr>
              <w:t>1990</w:t>
            </w:r>
          </w:p>
        </w:tc>
        <w:tc>
          <w:tcPr>
            <w:tcW w:w="0" w:type="auto"/>
            <w:vAlign w:val="center"/>
          </w:tcPr>
          <w:p>
            <w:pPr>
              <w:spacing w:before="0" w:after="0"/>
              <w:jc w:val="left"/>
            </w:pPr>
            <w:r>
              <w:rPr>
                <w:color w:val="1a202c"/>
                <w:sz w:val="22"/>
              </w:rPr>
              <w:t>Washington Post</w:t>
            </w:r>
          </w:p>
        </w:tc>
        <w:tc>
          <w:tcPr>
            <w:tcW w:w="0" w:type="auto"/>
            <w:vAlign w:val="center"/>
          </w:tcPr>
          <w:p>
            <w:pPr>
              <w:spacing w:before="0" w:after="0"/>
              <w:jc w:val="left"/>
            </w:pPr>
            <w:r>
              <w:rPr>
                <w:color w:val="1a202c"/>
                <w:sz w:val="22"/>
              </w:rPr>
              <w:t>ACTIVE - Media Gatekeeping</w:t>
            </w:r>
          </w:p>
        </w:tc>
      </w:tr>
      <w:tr>
        <w:trPr>
          <w:trHeight w:val="350" w:hRule="atLeast"/>
        </w:trPr>
        <w:tc>
          <w:tcPr>
            <w:tcW w:w="0" w:type="auto"/>
            <w:vAlign w:val="center"/>
          </w:tcPr>
          <w:p>
            <w:pPr>
              <w:spacing w:before="0" w:after="0"/>
              <w:jc w:val="left"/>
            </w:pPr>
            <w:r>
              <w:rPr>
                <w:color w:val="1a202c"/>
                <w:sz w:val="22"/>
              </w:rPr>
              <w:t>David Leonhardt</w:t>
            </w:r>
          </w:p>
        </w:tc>
        <w:tc>
          <w:tcPr>
            <w:tcW w:w="0" w:type="auto"/>
            <w:vAlign w:val="center"/>
          </w:tcPr>
          <w:p>
            <w:pPr>
              <w:spacing w:before="0" w:after="0"/>
              <w:jc w:val="left"/>
            </w:pPr>
            <w:r>
              <w:rPr>
                <w:color w:val="1a202c"/>
                <w:sz w:val="22"/>
              </w:rPr>
              <w:t>1994</w:t>
            </w:r>
          </w:p>
        </w:tc>
        <w:tc>
          <w:tcPr>
            <w:tcW w:w="0" w:type="auto"/>
            <w:vAlign w:val="center"/>
          </w:tcPr>
          <w:p>
            <w:pPr>
              <w:spacing w:before="0" w:after="0"/>
              <w:jc w:val="left"/>
            </w:pPr>
            <w:r>
              <w:rPr>
                <w:color w:val="1a202c"/>
                <w:sz w:val="22"/>
              </w:rPr>
              <w:t>NYT Editorial Director</w:t>
            </w:r>
          </w:p>
        </w:tc>
        <w:tc>
          <w:tcPr>
            <w:tcW w:w="0" w:type="auto"/>
            <w:vAlign w:val="center"/>
          </w:tcPr>
          <w:p>
            <w:pPr>
              <w:spacing w:before="0" w:after="0"/>
              <w:jc w:val="left"/>
            </w:pPr>
            <w:r>
              <w:rPr>
                <w:color w:val="1a202c"/>
                <w:sz w:val="22"/>
              </w:rPr>
              <w:t>ACTIVE - Editorial Capture</w:t>
            </w:r>
          </w:p>
        </w:tc>
      </w:tr>
      <w:tr>
        <w:trPr>
          <w:trHeight w:val="350" w:hRule="atLeast"/>
        </w:trPr>
        <w:tc>
          <w:tcPr>
            <w:tcW w:w="0" w:type="auto"/>
            <w:vAlign w:val="center"/>
          </w:tcPr>
          <w:p>
            <w:pPr>
              <w:spacing w:before="0" w:after="0"/>
              <w:jc w:val="left"/>
            </w:pPr>
            <w:r>
              <w:rPr>
                <w:color w:val="1a202c"/>
                <w:sz w:val="22"/>
              </w:rPr>
              <w:t>Victor Ashe</w:t>
            </w:r>
          </w:p>
        </w:tc>
        <w:tc>
          <w:tcPr>
            <w:tcW w:w="0" w:type="auto"/>
            <w:vAlign w:val="center"/>
          </w:tcPr>
          <w:p>
            <w:pPr>
              <w:spacing w:before="0" w:after="0"/>
              <w:jc w:val="left"/>
            </w:pPr>
            <w:r>
              <w:rPr>
                <w:color w:val="1a202c"/>
                <w:sz w:val="22"/>
              </w:rPr>
              <w:t>1967</w:t>
            </w:r>
          </w:p>
        </w:tc>
        <w:tc>
          <w:tcPr>
            <w:tcW w:w="0" w:type="auto"/>
            <w:vAlign w:val="center"/>
          </w:tcPr>
          <w:p>
            <w:pPr>
              <w:spacing w:before="0" w:after="0"/>
              <w:jc w:val="left"/>
            </w:pPr>
            <w:r>
              <w:rPr>
                <w:color w:val="1a202c"/>
                <w:sz w:val="22"/>
              </w:rPr>
              <w:t>Retired</w:t>
            </w:r>
          </w:p>
        </w:tc>
        <w:tc>
          <w:tcPr>
            <w:tcW w:w="0" w:type="auto"/>
            <w:vAlign w:val="center"/>
          </w:tcPr>
          <w:p>
            <w:pPr>
              <w:spacing w:before="0" w:after="0"/>
              <w:jc w:val="left"/>
            </w:pPr>
            <w:r>
              <w:rPr>
                <w:color w:val="1a202c"/>
                <w:sz w:val="22"/>
              </w:rPr>
              <w:t>Living - Complicit</w:t>
            </w:r>
          </w:p>
        </w:tc>
      </w:tr>
      <w:tr>
        <w:trPr>
          <w:trHeight w:val="350" w:hRule="atLeast"/>
        </w:trPr>
        <w:tc>
          <w:tcPr>
            <w:tcW w:w="0" w:type="auto"/>
            <w:vAlign w:val="center"/>
          </w:tcPr>
          <w:p>
            <w:pPr>
              <w:spacing w:before="0" w:after="0"/>
              <w:jc w:val="left"/>
            </w:pPr>
            <w:r>
              <w:rPr>
                <w:color w:val="1a202c"/>
                <w:sz w:val="22"/>
              </w:rPr>
              <w:t>Roy Austin</w:t>
            </w:r>
          </w:p>
        </w:tc>
        <w:tc>
          <w:tcPr>
            <w:tcW w:w="0" w:type="auto"/>
            <w:vAlign w:val="center"/>
          </w:tcPr>
          <w:p>
            <w:pPr>
              <w:spacing w:before="0" w:after="0"/>
              <w:jc w:val="left"/>
            </w:pPr>
            <w:r>
              <w:rPr>
                <w:color w:val="1a202c"/>
                <w:sz w:val="22"/>
              </w:rPr>
              <w:t>1968</w:t>
            </w:r>
          </w:p>
        </w:tc>
        <w:tc>
          <w:tcPr>
            <w:tcW w:w="0" w:type="auto"/>
            <w:vAlign w:val="center"/>
          </w:tcPr>
          <w:p>
            <w:pPr>
              <w:spacing w:before="0" w:after="0"/>
              <w:jc w:val="left"/>
            </w:pPr>
            <w:r>
              <w:rPr>
                <w:color w:val="1a202c"/>
                <w:sz w:val="22"/>
              </w:rPr>
              <w:t>Retired</w:t>
            </w:r>
          </w:p>
        </w:tc>
        <w:tc>
          <w:tcPr>
            <w:tcW w:w="0" w:type="auto"/>
            <w:vAlign w:val="center"/>
          </w:tcPr>
          <w:p>
            <w:pPr>
              <w:spacing w:before="0" w:after="0"/>
              <w:jc w:val="left"/>
            </w:pPr>
            <w:r>
              <w:rPr>
                <w:color w:val="1a202c"/>
                <w:sz w:val="22"/>
              </w:rPr>
              <w:t>Living - Complicit</w:t>
            </w:r>
          </w:p>
        </w:tc>
      </w:tr>
      <w:tr>
        <w:trPr>
          <w:trHeight w:val="350" w:hRule="atLeast"/>
        </w:trPr>
        <w:tc>
          <w:tcPr>
            <w:tcW w:w="0" w:type="auto"/>
            <w:vAlign w:val="center"/>
          </w:tcPr>
          <w:p>
            <w:pPr>
              <w:spacing w:before="0" w:after="0"/>
              <w:jc w:val="left"/>
            </w:pPr>
            <w:r>
              <w:rPr>
                <w:color w:val="1a202c"/>
                <w:sz w:val="22"/>
              </w:rPr>
              <w:t>Rex Cowdry</w:t>
            </w:r>
          </w:p>
        </w:tc>
        <w:tc>
          <w:tcPr>
            <w:tcW w:w="0" w:type="auto"/>
            <w:vAlign w:val="center"/>
          </w:tcPr>
          <w:p>
            <w:pPr>
              <w:spacing w:before="0" w:after="0"/>
              <w:jc w:val="left"/>
            </w:pPr>
            <w:r>
              <w:rPr>
                <w:color w:val="1a202c"/>
                <w:sz w:val="22"/>
              </w:rPr>
              <w:t>1968</w:t>
            </w:r>
          </w:p>
        </w:tc>
        <w:tc>
          <w:tcPr>
            <w:tcW w:w="0" w:type="auto"/>
            <w:vAlign w:val="center"/>
          </w:tcPr>
          <w:p>
            <w:pPr>
              <w:spacing w:before="0" w:after="0"/>
              <w:jc w:val="left"/>
            </w:pPr>
            <w:r>
              <w:rPr>
                <w:color w:val="1a202c"/>
                <w:sz w:val="22"/>
              </w:rPr>
              <w:t>Retired</w:t>
            </w:r>
          </w:p>
        </w:tc>
        <w:tc>
          <w:tcPr>
            <w:tcW w:w="0" w:type="auto"/>
            <w:vAlign w:val="center"/>
          </w:tcPr>
          <w:p>
            <w:pPr>
              <w:spacing w:before="0" w:after="0"/>
              <w:jc w:val="left"/>
            </w:pPr>
            <w:r>
              <w:rPr>
                <w:color w:val="1a202c"/>
                <w:sz w:val="22"/>
              </w:rPr>
              <w:t>Living - Complicit</w:t>
            </w:r>
          </w:p>
        </w:tc>
      </w:tr>
      <w:tr>
        <w:trPr>
          <w:trHeight w:val="350" w:hRule="atLeast"/>
        </w:trPr>
        <w:tc>
          <w:tcPr>
            <w:tcW w:w="0" w:type="auto"/>
            <w:vAlign w:val="center"/>
          </w:tcPr>
          <w:p>
            <w:pPr>
              <w:spacing w:before="0" w:after="0"/>
              <w:jc w:val="left"/>
            </w:pPr>
            <w:r>
              <w:rPr>
                <w:color w:val="1a202c"/>
                <w:sz w:val="22"/>
              </w:rPr>
              <w:t>Robert McCallum Jr.</w:t>
            </w:r>
          </w:p>
        </w:tc>
        <w:tc>
          <w:tcPr>
            <w:tcW w:w="0" w:type="auto"/>
            <w:vAlign w:val="center"/>
          </w:tcPr>
          <w:p>
            <w:pPr>
              <w:spacing w:before="0" w:after="0"/>
              <w:jc w:val="left"/>
            </w:pPr>
            <w:r>
              <w:rPr>
                <w:color w:val="1a202c"/>
                <w:sz w:val="22"/>
              </w:rPr>
              <w:t>1968</w:t>
            </w:r>
          </w:p>
        </w:tc>
        <w:tc>
          <w:tcPr>
            <w:tcW w:w="0" w:type="auto"/>
            <w:vAlign w:val="center"/>
          </w:tcPr>
          <w:p>
            <w:pPr>
              <w:spacing w:before="0" w:after="0"/>
              <w:jc w:val="left"/>
            </w:pPr>
            <w:r>
              <w:rPr>
                <w:color w:val="1a202c"/>
                <w:sz w:val="22"/>
              </w:rPr>
              <w:t>Retired</w:t>
            </w:r>
          </w:p>
        </w:tc>
        <w:tc>
          <w:tcPr>
            <w:tcW w:w="0" w:type="auto"/>
            <w:vAlign w:val="center"/>
          </w:tcPr>
          <w:p>
            <w:pPr>
              <w:spacing w:before="0" w:after="0"/>
              <w:jc w:val="left"/>
            </w:pPr>
            <w:r>
              <w:rPr>
                <w:color w:val="1a202c"/>
                <w:sz w:val="22"/>
              </w:rPr>
              <w:t>Living - Complicit</w:t>
            </w:r>
          </w:p>
        </w:tc>
      </w:tr>
    </w:tbl>
    <w:p>
      <w:pPr>
        <w:pStyle w:val="Heading2"/>
      </w:pPr>
      <w:r>
        <w:t>SECTION IX: LEGAL FRAMEWORK FOR PROSECUTION</w:t>
      </w:r>
    </w:p>
    <w:p>
      <w:pPr>
        <w:pStyle w:val="Heading3"/>
      </w:pPr>
      <w:r>
        <w:t>RICO Statute (18 U.S.C. Section 1961 et seq.)</w:t>
      </w:r>
    </w:p>
    <w:p>
      <w:r>
        <w:t>The Russell Trust Association constitutes an ongoing criminal enterprise under RICO based on:</w:t>
      </w:r>
    </w:p>
    <w:p>
      <w:pPr>
        <w:spacing w:after="120"/>
        <w:ind w:left="720" w:hanging="360"/>
      </w:pPr>
      <w:r>
        <w:t>•  Pattern of racketeering activity spanning 190+ years</w:t>
      </w:r>
    </w:p>
    <w:p>
      <w:pPr>
        <w:spacing w:after="120"/>
        <w:ind w:left="720" w:hanging="360"/>
      </w:pPr>
      <w:r>
        <w:t>•  Continuity of operations through current leadership (Goolsbee, Klaber)</w:t>
      </w:r>
    </w:p>
    <w:p>
      <w:pPr>
        <w:spacing w:after="120"/>
        <w:ind w:left="720" w:hanging="360"/>
      </w:pPr>
      <w:r>
        <w:t>•  Multiple predicate acts including treason, money laundering, and conspiracy</w:t>
      </w:r>
    </w:p>
    <w:p>
      <w:pPr>
        <w:spacing w:after="120"/>
        <w:ind w:left="720" w:hanging="360"/>
      </w:pPr>
      <w:r>
        <w:t>•  Active criminal operations continuing as of February 28, 2026</w:t>
      </w:r>
    </w:p>
    <w:p>
      <w:pPr>
        <w:pStyle w:val="Heading3"/>
      </w:pPr>
      <w:r>
        <w:t>War Crimes Act (18 U.S.C. Section 2441)</w:t>
      </w:r>
    </w:p>
    <w:p>
      <w:r>
        <w:t>Multiple living Bonesmen are subject to prosecution for grave breaches of the Geneva Conventions:</w:t>
      </w:r>
    </w:p>
    <w:p>
      <w:pPr>
        <w:spacing w:after="120"/>
        <w:ind w:left="720" w:hanging="360"/>
      </w:pPr>
      <w:r>
        <w:t>•  George W. Bush: Torture authorization, aggressive war</w:t>
      </w:r>
    </w:p>
    <w:p>
      <w:pPr>
        <w:spacing w:after="120"/>
        <w:ind w:left="720" w:hanging="360"/>
      </w:pPr>
      <w:r>
        <w:t>•  John Kerry: Vietnam War crimes</w:t>
      </w:r>
    </w:p>
    <w:p>
      <w:pPr>
        <w:spacing w:after="120"/>
        <w:ind w:left="720" w:hanging="360"/>
      </w:pPr>
      <w:r>
        <w:t>•  Robert Kagan: Conspiracy to commit aggressive war (PNAC)</w:t>
      </w:r>
    </w:p>
    <w:p>
      <w:pPr>
        <w:pStyle w:val="Heading2"/>
      </w:pPr>
      <w:r>
        <w:t>CONCLUSION</w:t>
      </w:r>
    </w:p>
    <w:p>
      <w:r>
        <w:t>This forensic audit documents that as of February 28, 2026, the following living members of Order 322 (Skull and Bones) continue to engage in criminal activities or maintain positions of institutional capture:</w:t>
      </w:r>
    </w:p>
    <w:p>
      <w:pPr>
        <w:spacing w:after="120"/>
        <w:ind w:left="720" w:hanging="360"/>
      </w:pPr>
      <w:r>
        <w:t>•  11 ACTIVE CRIMINALS continuing operations in finance, government, media, and judiciary</w:t>
      </w:r>
    </w:p>
    <w:p>
      <w:pPr>
        <w:spacing w:after="120"/>
        <w:ind w:left="720" w:hanging="360"/>
      </w:pPr>
      <w:r>
        <w:t>•  4 RETIRED MEMBERS living but complicit in ongoing criminal enterprise</w:t>
      </w:r>
    </w:p>
    <w:p>
      <w:pPr>
        <w:spacing w:after="120"/>
        <w:ind w:left="720" w:hanging="360"/>
      </w:pPr>
      <w:r>
        <w:t>•  5 DECEASED MEMBERS (excluded from this report)</w:t>
      </w:r>
    </w:p>
    <w:p>
      <w:r>
        <w:t>The RICO statute of limitations is continuously restarted by ongoing criminal activity under current leadership. All named living individuals should be subject to immediate investigation and prosecution under applicable federal and international law.</w:t>
      </w:r>
    </w:p>
    <w:p>
      <w:pPr>
        <w:pStyle w:val="Heading1"/>
      </w:pPr>
      <w:r>
        <w:t>PART V: COMPLETE CRIMINAL LIST - ALL TIME</w:t>
      </w:r>
    </w:p>
    <w:p>
      <w:pPr>
        <w:spacing w:after="400"/>
        <w:jc w:val="center"/>
      </w:pPr>
      <w:r>
        <w:t>COMPREHENSIVE ROSTER OF ALL IDENTIFIED CRIMINAL PERSONS</w:t>
      </w:r>
    </w:p>
    <w:p>
      <w:pPr>
        <w:spacing w:after="200"/>
        <w:jc w:val="center"/>
      </w:pPr>
      <w:r>
        <w:t>From Founding (1832) to February 28, 2026</w:t>
      </w:r>
    </w:p>
    <w:p>
      <w:pPr>
        <w:shd w:val="clear" w:fill="fed7d7"/>
        <w:spacing w:after="400"/>
        <w:jc w:val="center"/>
      </w:pPr>
      <w:r>
        <w:rPr>
          <w:b/>
          <w:color w:val="c53030"/>
        </w:rPr>
        <w:t>CLASSIFICATION: OPEN SOURCE INTELLIGENCE // LAW ENFORCEMENT SENSITIVE</w:t>
      </w:r>
    </w:p>
    <w:p>
      <w:pPr>
        <w:pStyle w:val="Heading2"/>
      </w:pPr>
      <w:r>
        <w:t>INTRODUCTION</w:t>
      </w:r>
    </w:p>
    <w:p>
      <w:r>
        <w:t>This section provides a comprehensive master list of all identified criminal persons associated with Order 322 (Skull and Bones) from the organization's founding in 1832 through February 28, 2026. This list includes both deceased and living individuals, organized by category of criminal activity and current status.</w:t>
      </w:r>
    </w:p>
    <w:p>
      <w:r>
        <w:t>The list is compiled from multiple sources including the U.S. National Archives, IRS filings, court documents, investigative journalism, academic research, and official government records. All entries include the individual's Bones cohort year (where known), primary criminal charges, and current status.</w:t>
      </w:r>
    </w:p>
    <w:p>
      <w:pPr>
        <w:pStyle w:val="Heading2"/>
      </w:pPr>
      <w:r>
        <w:t>CATEGORY A: ACTIVE CRIMINALS - CURRENT OPERATIONS (As of February 28, 2026)</w:t>
      </w:r>
    </w:p>
    <w:p>
      <w:pPr>
        <w:spacing w:after="200"/>
      </w:pPr>
      <w:r>
        <w:rPr>
          <w:b/>
          <w:color w:val="c53030"/>
        </w:rPr>
        <w:t>These individuals are currently engaged in criminal activities or hold positions of institutional influence.</w:t>
      </w:r>
    </w:p>
    <w:tbl>
      <w:tblPr>
        <w:tblW w:w="5000" w:type="pct"/>
        <w:tblBorders>
          <w:top w:val="single" w:color="1a365d" w:sz="8"/>
          <w:left w:val="nil"/>
          <w:bottom w:val="single" w:color="1a365d" w:sz="8"/>
          <w:right w:val="nil"/>
          <w:insideH w:val="single" w:color="d1d5db" w:sz="4"/>
          <w:insideV w:val="nil"/>
        </w:tblBorders>
        <w:tblCellMar>
          <w:top w:w="100" w:type="dxa"/>
          <w:left w:w="150" w:type="dxa"/>
          <w:bottom w:w="100" w:type="dxa"/>
          <w:right w:w="150" w:type="dxa"/>
        </w:tblCellMar>
      </w:tblPr>
      <w:tblGrid>
        <w:gridCol w:w="2500"/>
        <w:gridCol w:w="1500"/>
        <w:gridCol w:w="3500"/>
        <w:gridCol w:w="2500"/>
      </w:tblGrid>
      <w:tr>
        <w:trPr>
          <w:tblHeader/>
          <w:trHeight w:val="400" w:hRule="atLeast"/>
        </w:trPr>
        <w:tc>
          <w:tcPr>
            <w:tcW w:w="0" w:type="auto"/>
            <w:tcBorders>
              <w:bottom w:val="single" w:color="1a365d" w:sz="6"/>
            </w:tcBorders>
            <w:shd w:val="clear" w:fill="e2e8f0"/>
            <w:vAlign w:val="center"/>
          </w:tcPr>
          <w:p>
            <w:pPr>
              <w:spacing w:before="0" w:after="0"/>
              <w:jc w:val="center"/>
            </w:pPr>
            <w:r>
              <w:rPr>
                <w:b/>
                <w:color w:val="1a202c"/>
                <w:sz w:val="22"/>
              </w:rPr>
              <w:t>Name</w:t>
            </w:r>
          </w:p>
        </w:tc>
        <w:tc>
          <w:tcPr>
            <w:tcW w:w="0" w:type="auto"/>
            <w:tcBorders>
              <w:bottom w:val="single" w:color="1a365d" w:sz="6"/>
            </w:tcBorders>
            <w:shd w:val="clear" w:fill="e2e8f0"/>
            <w:vAlign w:val="center"/>
          </w:tcPr>
          <w:p>
            <w:pPr>
              <w:spacing w:before="0" w:after="0"/>
              <w:jc w:val="center"/>
            </w:pPr>
            <w:r>
              <w:rPr>
                <w:b/>
                <w:color w:val="1a202c"/>
                <w:sz w:val="22"/>
              </w:rPr>
              <w:t>Cohort</w:t>
            </w:r>
          </w:p>
        </w:tc>
        <w:tc>
          <w:tcPr>
            <w:tcW w:w="0" w:type="auto"/>
            <w:tcBorders>
              <w:bottom w:val="single" w:color="1a365d" w:sz="6"/>
            </w:tcBorders>
            <w:shd w:val="clear" w:fill="e2e8f0"/>
            <w:vAlign w:val="center"/>
          </w:tcPr>
          <w:p>
            <w:pPr>
              <w:spacing w:before="0" w:after="0"/>
              <w:jc w:val="center"/>
            </w:pPr>
            <w:r>
              <w:rPr>
                <w:b/>
                <w:color w:val="1a202c"/>
                <w:sz w:val="22"/>
              </w:rPr>
              <w:t>Primary Crimes</w:t>
            </w:r>
          </w:p>
        </w:tc>
        <w:tc>
          <w:tcPr>
            <w:tcW w:w="0" w:type="auto"/>
            <w:tcBorders>
              <w:bottom w:val="single" w:color="1a365d" w:sz="6"/>
            </w:tcBorders>
            <w:shd w:val="clear" w:fill="e2e8f0"/>
            <w:vAlign w:val="center"/>
          </w:tcPr>
          <w:p>
            <w:pPr>
              <w:spacing w:before="0" w:after="0"/>
              <w:jc w:val="center"/>
            </w:pPr>
            <w:r>
              <w:rPr>
                <w:b/>
                <w:color w:val="1a202c"/>
                <w:sz w:val="22"/>
              </w:rPr>
              <w:t>Status</w:t>
            </w:r>
          </w:p>
        </w:tc>
      </w:tr>
      <w:tr>
        <w:trPr>
          <w:trHeight w:val="350" w:hRule="atLeast"/>
        </w:trPr>
        <w:tc>
          <w:tcPr>
            <w:tcW w:w="0" w:type="auto"/>
            <w:vAlign w:val="center"/>
          </w:tcPr>
          <w:p>
            <w:pPr>
              <w:spacing w:before="0" w:after="0"/>
              <w:jc w:val="left"/>
            </w:pPr>
            <w:r>
              <w:rPr>
                <w:color w:val="1a202c"/>
                <w:sz w:val="22"/>
              </w:rPr>
              <w:t>Austan Goolsbee</w:t>
            </w:r>
          </w:p>
        </w:tc>
        <w:tc>
          <w:tcPr>
            <w:tcW w:w="0" w:type="auto"/>
            <w:vAlign w:val="center"/>
          </w:tcPr>
          <w:p>
            <w:pPr>
              <w:spacing w:before="0" w:after="0"/>
              <w:jc w:val="left"/>
            </w:pPr>
            <w:r>
              <w:rPr>
                <w:color w:val="1a202c"/>
                <w:sz w:val="22"/>
              </w:rPr>
              <w:t>1991</w:t>
            </w:r>
          </w:p>
        </w:tc>
        <w:tc>
          <w:tcPr>
            <w:tcW w:w="0" w:type="auto"/>
            <w:vAlign w:val="center"/>
          </w:tcPr>
          <w:p>
            <w:pPr>
              <w:spacing w:before="0" w:after="0"/>
              <w:jc w:val="left"/>
            </w:pPr>
            <w:r>
              <w:rPr>
                <w:color w:val="1a202c"/>
                <w:sz w:val="22"/>
              </w:rPr>
              <w:t>RICO, Conspiracy, Conflict of Interest</w:t>
            </w:r>
          </w:p>
        </w:tc>
        <w:tc>
          <w:tcPr>
            <w:tcW w:w="0" w:type="auto"/>
            <w:vAlign w:val="center"/>
          </w:tcPr>
          <w:p>
            <w:pPr>
              <w:spacing w:before="0" w:after="0"/>
              <w:jc w:val="left"/>
            </w:pPr>
            <w:r>
              <w:rPr>
                <w:color w:val="1a202c"/>
                <w:sz w:val="22"/>
              </w:rPr>
              <w:t>Chicago Fed President</w:t>
            </w:r>
          </w:p>
        </w:tc>
      </w:tr>
      <w:tr>
        <w:trPr>
          <w:trHeight w:val="350" w:hRule="atLeast"/>
        </w:trPr>
        <w:tc>
          <w:tcPr>
            <w:tcW w:w="0" w:type="auto"/>
            <w:vAlign w:val="center"/>
          </w:tcPr>
          <w:p>
            <w:pPr>
              <w:spacing w:before="0" w:after="0"/>
              <w:jc w:val="left"/>
            </w:pPr>
            <w:r>
              <w:rPr>
                <w:color w:val="1a202c"/>
                <w:sz w:val="22"/>
              </w:rPr>
              <w:t>Andrew Klaber</w:t>
            </w:r>
          </w:p>
        </w:tc>
        <w:tc>
          <w:tcPr>
            <w:tcW w:w="0" w:type="auto"/>
            <w:vAlign w:val="center"/>
          </w:tcPr>
          <w:p>
            <w:pPr>
              <w:spacing w:before="0" w:after="0"/>
              <w:jc w:val="left"/>
            </w:pPr>
            <w:r>
              <w:rPr>
                <w:color w:val="1a202c"/>
                <w:sz w:val="22"/>
              </w:rPr>
              <w:t>Unknown</w:t>
            </w:r>
          </w:p>
        </w:tc>
        <w:tc>
          <w:tcPr>
            <w:tcW w:w="0" w:type="auto"/>
            <w:vAlign w:val="center"/>
          </w:tcPr>
          <w:p>
            <w:pPr>
              <w:spacing w:before="0" w:after="0"/>
              <w:jc w:val="left"/>
            </w:pPr>
            <w:r>
              <w:rPr>
                <w:color w:val="1a202c"/>
                <w:sz w:val="22"/>
              </w:rPr>
              <w:t>RICO Leadership, Money Laundering</w:t>
            </w:r>
          </w:p>
        </w:tc>
        <w:tc>
          <w:tcPr>
            <w:tcW w:w="0" w:type="auto"/>
            <w:vAlign w:val="center"/>
          </w:tcPr>
          <w:p>
            <w:pPr>
              <w:spacing w:before="0" w:after="0"/>
              <w:jc w:val="left"/>
            </w:pPr>
            <w:r>
              <w:rPr>
                <w:color w:val="1a202c"/>
                <w:sz w:val="22"/>
              </w:rPr>
              <w:t>RTA Chair</w:t>
            </w:r>
          </w:p>
        </w:tc>
      </w:tr>
      <w:tr>
        <w:trPr>
          <w:trHeight w:val="350" w:hRule="atLeast"/>
        </w:trPr>
        <w:tc>
          <w:tcPr>
            <w:tcW w:w="0" w:type="auto"/>
            <w:vAlign w:val="center"/>
          </w:tcPr>
          <w:p>
            <w:pPr>
              <w:spacing w:before="0" w:after="0"/>
              <w:jc w:val="left"/>
            </w:pPr>
            <w:r>
              <w:rPr>
                <w:color w:val="1a202c"/>
                <w:sz w:val="22"/>
              </w:rPr>
              <w:t>George W. Bush</w:t>
            </w:r>
          </w:p>
        </w:tc>
        <w:tc>
          <w:tcPr>
            <w:tcW w:w="0" w:type="auto"/>
            <w:vAlign w:val="center"/>
          </w:tcPr>
          <w:p>
            <w:pPr>
              <w:spacing w:before="0" w:after="0"/>
              <w:jc w:val="left"/>
            </w:pPr>
            <w:r>
              <w:rPr>
                <w:color w:val="1a202c"/>
                <w:sz w:val="22"/>
              </w:rPr>
              <w:t>1968</w:t>
            </w:r>
          </w:p>
        </w:tc>
        <w:tc>
          <w:tcPr>
            <w:tcW w:w="0" w:type="auto"/>
            <w:vAlign w:val="center"/>
          </w:tcPr>
          <w:p>
            <w:pPr>
              <w:spacing w:before="0" w:after="0"/>
              <w:jc w:val="left"/>
            </w:pPr>
            <w:r>
              <w:rPr>
                <w:color w:val="1a202c"/>
                <w:sz w:val="22"/>
              </w:rPr>
              <w:t>War Crimes, Crimes Against Humanity</w:t>
            </w:r>
          </w:p>
        </w:tc>
        <w:tc>
          <w:tcPr>
            <w:tcW w:w="0" w:type="auto"/>
            <w:vAlign w:val="center"/>
          </w:tcPr>
          <w:p>
            <w:pPr>
              <w:spacing w:before="0" w:after="0"/>
              <w:jc w:val="left"/>
            </w:pPr>
            <w:r>
              <w:rPr>
                <w:color w:val="1a202c"/>
                <w:sz w:val="22"/>
              </w:rPr>
              <w:t>Private Citizen</w:t>
            </w:r>
          </w:p>
        </w:tc>
      </w:tr>
      <w:tr>
        <w:trPr>
          <w:trHeight w:val="350" w:hRule="atLeast"/>
        </w:trPr>
        <w:tc>
          <w:tcPr>
            <w:tcW w:w="0" w:type="auto"/>
            <w:vAlign w:val="center"/>
          </w:tcPr>
          <w:p>
            <w:pPr>
              <w:spacing w:before="0" w:after="0"/>
              <w:jc w:val="left"/>
            </w:pPr>
            <w:r>
              <w:rPr>
                <w:color w:val="1a202c"/>
                <w:sz w:val="22"/>
              </w:rPr>
              <w:t>Stephen Schwarzman</w:t>
            </w:r>
          </w:p>
        </w:tc>
        <w:tc>
          <w:tcPr>
            <w:tcW w:w="0" w:type="auto"/>
            <w:vAlign w:val="center"/>
          </w:tcPr>
          <w:p>
            <w:pPr>
              <w:spacing w:before="0" w:after="0"/>
              <w:jc w:val="left"/>
            </w:pPr>
            <w:r>
              <w:rPr>
                <w:color w:val="1a202c"/>
                <w:sz w:val="22"/>
              </w:rPr>
              <w:t>1969</w:t>
            </w:r>
          </w:p>
        </w:tc>
        <w:tc>
          <w:tcPr>
            <w:tcW w:w="0" w:type="auto"/>
            <w:vAlign w:val="center"/>
          </w:tcPr>
          <w:p>
            <w:pPr>
              <w:spacing w:before="0" w:after="0"/>
              <w:jc w:val="left"/>
            </w:pPr>
            <w:r>
              <w:rPr>
                <w:color w:val="1a202c"/>
                <w:sz w:val="22"/>
              </w:rPr>
              <w:t>Pension Fraud, Housing Crisis</w:t>
            </w:r>
          </w:p>
        </w:tc>
        <w:tc>
          <w:tcPr>
            <w:tcW w:w="0" w:type="auto"/>
            <w:vAlign w:val="center"/>
          </w:tcPr>
          <w:p>
            <w:pPr>
              <w:spacing w:before="0" w:after="0"/>
              <w:jc w:val="left"/>
            </w:pPr>
            <w:r>
              <w:rPr>
                <w:color w:val="1a202c"/>
                <w:sz w:val="22"/>
              </w:rPr>
              <w:t>Blackstone CEO</w:t>
            </w:r>
          </w:p>
        </w:tc>
      </w:tr>
      <w:tr>
        <w:trPr>
          <w:trHeight w:val="350" w:hRule="atLeast"/>
        </w:trPr>
        <w:tc>
          <w:tcPr>
            <w:tcW w:w="0" w:type="auto"/>
            <w:vAlign w:val="center"/>
          </w:tcPr>
          <w:p>
            <w:pPr>
              <w:spacing w:before="0" w:after="0"/>
              <w:jc w:val="left"/>
            </w:pPr>
            <w:r>
              <w:rPr>
                <w:color w:val="1a202c"/>
                <w:sz w:val="22"/>
              </w:rPr>
              <w:t>Steven Mnuchin</w:t>
            </w:r>
          </w:p>
        </w:tc>
        <w:tc>
          <w:tcPr>
            <w:tcW w:w="0" w:type="auto"/>
            <w:vAlign w:val="center"/>
          </w:tcPr>
          <w:p>
            <w:pPr>
              <w:spacing w:before="0" w:after="0"/>
              <w:jc w:val="left"/>
            </w:pPr>
            <w:r>
              <w:rPr>
                <w:color w:val="1a202c"/>
                <w:sz w:val="22"/>
              </w:rPr>
              <w:t>1985</w:t>
            </w:r>
          </w:p>
        </w:tc>
        <w:tc>
          <w:tcPr>
            <w:tcW w:w="0" w:type="auto"/>
            <w:vAlign w:val="center"/>
          </w:tcPr>
          <w:p>
            <w:pPr>
              <w:spacing w:before="0" w:after="0"/>
              <w:jc w:val="left"/>
            </w:pPr>
            <w:r>
              <w:rPr>
                <w:color w:val="1a202c"/>
                <w:sz w:val="22"/>
              </w:rPr>
              <w:t>Predatory Lending, Tax Evasion</w:t>
            </w:r>
          </w:p>
        </w:tc>
        <w:tc>
          <w:tcPr>
            <w:tcW w:w="0" w:type="auto"/>
            <w:vAlign w:val="center"/>
          </w:tcPr>
          <w:p>
            <w:pPr>
              <w:spacing w:before="0" w:after="0"/>
              <w:jc w:val="left"/>
            </w:pPr>
            <w:r>
              <w:rPr>
                <w:color w:val="1a202c"/>
                <w:sz w:val="22"/>
              </w:rPr>
              <w:t>Private Investor</w:t>
            </w:r>
          </w:p>
        </w:tc>
      </w:tr>
      <w:tr>
        <w:trPr>
          <w:trHeight w:val="350" w:hRule="atLeast"/>
        </w:trPr>
        <w:tc>
          <w:tcPr>
            <w:tcW w:w="0" w:type="auto"/>
            <w:vAlign w:val="center"/>
          </w:tcPr>
          <w:p>
            <w:pPr>
              <w:spacing w:before="0" w:after="0"/>
              <w:jc w:val="left"/>
            </w:pPr>
            <w:r>
              <w:rPr>
                <w:color w:val="1a202c"/>
                <w:sz w:val="22"/>
              </w:rPr>
              <w:t>Edward Lampert</w:t>
            </w:r>
          </w:p>
        </w:tc>
        <w:tc>
          <w:tcPr>
            <w:tcW w:w="0" w:type="auto"/>
            <w:vAlign w:val="center"/>
          </w:tcPr>
          <w:p>
            <w:pPr>
              <w:spacing w:before="0" w:after="0"/>
              <w:jc w:val="left"/>
            </w:pPr>
            <w:r>
              <w:rPr>
                <w:color w:val="1a202c"/>
                <w:sz w:val="22"/>
              </w:rPr>
              <w:t>1984</w:t>
            </w:r>
          </w:p>
        </w:tc>
        <w:tc>
          <w:tcPr>
            <w:tcW w:w="0" w:type="auto"/>
            <w:vAlign w:val="center"/>
          </w:tcPr>
          <w:p>
            <w:pPr>
              <w:spacing w:before="0" w:after="0"/>
              <w:jc w:val="left"/>
            </w:pPr>
            <w:r>
              <w:rPr>
                <w:color w:val="1a202c"/>
                <w:sz w:val="22"/>
              </w:rPr>
              <w:t>Pension Theft, Asset Stripping</w:t>
            </w:r>
          </w:p>
        </w:tc>
        <w:tc>
          <w:tcPr>
            <w:tcW w:w="0" w:type="auto"/>
            <w:vAlign w:val="center"/>
          </w:tcPr>
          <w:p>
            <w:pPr>
              <w:spacing w:before="0" w:after="0"/>
              <w:jc w:val="left"/>
            </w:pPr>
            <w:r>
              <w:rPr>
                <w:color w:val="1a202c"/>
                <w:sz w:val="22"/>
              </w:rPr>
              <w:t>Transformco Chairman</w:t>
            </w:r>
          </w:p>
        </w:tc>
      </w:tr>
      <w:tr>
        <w:trPr>
          <w:trHeight w:val="350" w:hRule="atLeast"/>
        </w:trPr>
        <w:tc>
          <w:tcPr>
            <w:tcW w:w="0" w:type="auto"/>
            <w:vAlign w:val="center"/>
          </w:tcPr>
          <w:p>
            <w:pPr>
              <w:spacing w:before="0" w:after="0"/>
              <w:jc w:val="left"/>
            </w:pPr>
            <w:r>
              <w:rPr>
                <w:color w:val="1a202c"/>
                <w:sz w:val="22"/>
              </w:rPr>
              <w:t>Robert Kagan</w:t>
            </w:r>
          </w:p>
        </w:tc>
        <w:tc>
          <w:tcPr>
            <w:tcW w:w="0" w:type="auto"/>
            <w:vAlign w:val="center"/>
          </w:tcPr>
          <w:p>
            <w:pPr>
              <w:spacing w:before="0" w:after="0"/>
              <w:jc w:val="left"/>
            </w:pPr>
            <w:r>
              <w:rPr>
                <w:color w:val="1a202c"/>
                <w:sz w:val="22"/>
              </w:rPr>
              <w:t>1980</w:t>
            </w:r>
          </w:p>
        </w:tc>
        <w:tc>
          <w:tcPr>
            <w:tcW w:w="0" w:type="auto"/>
            <w:vAlign w:val="center"/>
          </w:tcPr>
          <w:p>
            <w:pPr>
              <w:spacing w:before="0" w:after="0"/>
              <w:jc w:val="left"/>
            </w:pPr>
            <w:r>
              <w:rPr>
                <w:color w:val="1a202c"/>
                <w:sz w:val="22"/>
              </w:rPr>
              <w:t>Conspiracy to Commit Aggressive War</w:t>
            </w:r>
          </w:p>
        </w:tc>
        <w:tc>
          <w:tcPr>
            <w:tcW w:w="0" w:type="auto"/>
            <w:vAlign w:val="center"/>
          </w:tcPr>
          <w:p>
            <w:pPr>
              <w:spacing w:before="0" w:after="0"/>
              <w:jc w:val="left"/>
            </w:pPr>
            <w:r>
              <w:rPr>
                <w:color w:val="1a202c"/>
                <w:sz w:val="22"/>
              </w:rPr>
              <w:t>Brookings</w:t>
            </w:r>
          </w:p>
        </w:tc>
      </w:tr>
      <w:tr>
        <w:trPr>
          <w:trHeight w:val="350" w:hRule="atLeast"/>
        </w:trPr>
        <w:tc>
          <w:tcPr>
            <w:tcW w:w="0" w:type="auto"/>
            <w:vAlign w:val="center"/>
          </w:tcPr>
          <w:p>
            <w:pPr>
              <w:spacing w:before="0" w:after="0"/>
              <w:jc w:val="left"/>
            </w:pPr>
            <w:r>
              <w:rPr>
                <w:color w:val="1a202c"/>
                <w:sz w:val="22"/>
              </w:rPr>
              <w:t>John Kerry</w:t>
            </w:r>
          </w:p>
        </w:tc>
        <w:tc>
          <w:tcPr>
            <w:tcW w:w="0" w:type="auto"/>
            <w:vAlign w:val="center"/>
          </w:tcPr>
          <w:p>
            <w:pPr>
              <w:spacing w:before="0" w:after="0"/>
              <w:jc w:val="left"/>
            </w:pPr>
            <w:r>
              <w:rPr>
                <w:color w:val="1a202c"/>
                <w:sz w:val="22"/>
              </w:rPr>
              <w:t>1966</w:t>
            </w:r>
          </w:p>
        </w:tc>
        <w:tc>
          <w:tcPr>
            <w:tcW w:w="0" w:type="auto"/>
            <w:vAlign w:val="center"/>
          </w:tcPr>
          <w:p>
            <w:pPr>
              <w:spacing w:before="0" w:after="0"/>
              <w:jc w:val="left"/>
            </w:pPr>
            <w:r>
              <w:rPr>
                <w:color w:val="1a202c"/>
                <w:sz w:val="22"/>
              </w:rPr>
              <w:t>War Crimes (Vietnam), Cover-up</w:t>
            </w:r>
          </w:p>
        </w:tc>
        <w:tc>
          <w:tcPr>
            <w:tcW w:w="0" w:type="auto"/>
            <w:vAlign w:val="center"/>
          </w:tcPr>
          <w:p>
            <w:pPr>
              <w:spacing w:before="0" w:after="0"/>
              <w:jc w:val="left"/>
            </w:pPr>
            <w:r>
              <w:rPr>
                <w:color w:val="1a202c"/>
                <w:sz w:val="22"/>
              </w:rPr>
              <w:t>Climate Advocate</w:t>
            </w:r>
          </w:p>
        </w:tc>
      </w:tr>
      <w:tr>
        <w:trPr>
          <w:trHeight w:val="350" w:hRule="atLeast"/>
        </w:trPr>
        <w:tc>
          <w:tcPr>
            <w:tcW w:w="0" w:type="auto"/>
            <w:vAlign w:val="center"/>
          </w:tcPr>
          <w:p>
            <w:pPr>
              <w:spacing w:before="0" w:after="0"/>
              <w:jc w:val="left"/>
            </w:pPr>
            <w:r>
              <w:rPr>
                <w:color w:val="1a202c"/>
                <w:sz w:val="22"/>
              </w:rPr>
              <w:t>James Boasberg</w:t>
            </w:r>
          </w:p>
        </w:tc>
        <w:tc>
          <w:tcPr>
            <w:tcW w:w="0" w:type="auto"/>
            <w:vAlign w:val="center"/>
          </w:tcPr>
          <w:p>
            <w:pPr>
              <w:spacing w:before="0" w:after="0"/>
              <w:jc w:val="left"/>
            </w:pPr>
            <w:r>
              <w:rPr>
                <w:color w:val="1a202c"/>
                <w:sz w:val="22"/>
              </w:rPr>
              <w:t>1985</w:t>
            </w:r>
          </w:p>
        </w:tc>
        <w:tc>
          <w:tcPr>
            <w:tcW w:w="0" w:type="auto"/>
            <w:vAlign w:val="center"/>
          </w:tcPr>
          <w:p>
            <w:pPr>
              <w:spacing w:before="0" w:after="0"/>
              <w:jc w:val="left"/>
            </w:pPr>
            <w:r>
              <w:rPr>
                <w:color w:val="1a202c"/>
                <w:sz w:val="22"/>
              </w:rPr>
              <w:t>FISA Abuse, Judicial Capture</w:t>
            </w:r>
          </w:p>
        </w:tc>
        <w:tc>
          <w:tcPr>
            <w:tcW w:w="0" w:type="auto"/>
            <w:vAlign w:val="center"/>
          </w:tcPr>
          <w:p>
            <w:pPr>
              <w:spacing w:before="0" w:after="0"/>
              <w:jc w:val="left"/>
            </w:pPr>
            <w:r>
              <w:rPr>
                <w:color w:val="1a202c"/>
                <w:sz w:val="22"/>
              </w:rPr>
              <w:t>DC Chief Judge</w:t>
            </w:r>
          </w:p>
        </w:tc>
      </w:tr>
      <w:tr>
        <w:trPr>
          <w:trHeight w:val="350" w:hRule="atLeast"/>
        </w:trPr>
        <w:tc>
          <w:tcPr>
            <w:tcW w:w="0" w:type="auto"/>
            <w:vAlign w:val="center"/>
          </w:tcPr>
          <w:p>
            <w:pPr>
              <w:spacing w:before="0" w:after="0"/>
              <w:jc w:val="left"/>
            </w:pPr>
            <w:r>
              <w:rPr>
                <w:color w:val="1a202c"/>
                <w:sz w:val="22"/>
              </w:rPr>
              <w:t>Dana Milbank</w:t>
            </w:r>
          </w:p>
        </w:tc>
        <w:tc>
          <w:tcPr>
            <w:tcW w:w="0" w:type="auto"/>
            <w:vAlign w:val="center"/>
          </w:tcPr>
          <w:p>
            <w:pPr>
              <w:spacing w:before="0" w:after="0"/>
              <w:jc w:val="left"/>
            </w:pPr>
            <w:r>
              <w:rPr>
                <w:color w:val="1a202c"/>
                <w:sz w:val="22"/>
              </w:rPr>
              <w:t>1990</w:t>
            </w:r>
          </w:p>
        </w:tc>
        <w:tc>
          <w:tcPr>
            <w:tcW w:w="0" w:type="auto"/>
            <w:vAlign w:val="center"/>
          </w:tcPr>
          <w:p>
            <w:pPr>
              <w:spacing w:before="0" w:after="0"/>
              <w:jc w:val="left"/>
            </w:pPr>
            <w:r>
              <w:rPr>
                <w:color w:val="1a202c"/>
                <w:sz w:val="22"/>
              </w:rPr>
              <w:t>Media Gatekeeping</w:t>
            </w:r>
          </w:p>
        </w:tc>
        <w:tc>
          <w:tcPr>
            <w:tcW w:w="0" w:type="auto"/>
            <w:vAlign w:val="center"/>
          </w:tcPr>
          <w:p>
            <w:pPr>
              <w:spacing w:before="0" w:after="0"/>
              <w:jc w:val="left"/>
            </w:pPr>
            <w:r>
              <w:rPr>
                <w:color w:val="1a202c"/>
                <w:sz w:val="22"/>
              </w:rPr>
              <w:t>Washington Post</w:t>
            </w:r>
          </w:p>
        </w:tc>
      </w:tr>
      <w:tr>
        <w:trPr>
          <w:trHeight w:val="350" w:hRule="atLeast"/>
        </w:trPr>
        <w:tc>
          <w:tcPr>
            <w:tcW w:w="0" w:type="auto"/>
            <w:vAlign w:val="center"/>
          </w:tcPr>
          <w:p>
            <w:pPr>
              <w:spacing w:before="0" w:after="0"/>
              <w:jc w:val="left"/>
            </w:pPr>
            <w:r>
              <w:rPr>
                <w:color w:val="1a202c"/>
                <w:sz w:val="22"/>
              </w:rPr>
              <w:t>David Leonhardt</w:t>
            </w:r>
          </w:p>
        </w:tc>
        <w:tc>
          <w:tcPr>
            <w:tcW w:w="0" w:type="auto"/>
            <w:vAlign w:val="center"/>
          </w:tcPr>
          <w:p>
            <w:pPr>
              <w:spacing w:before="0" w:after="0"/>
              <w:jc w:val="left"/>
            </w:pPr>
            <w:r>
              <w:rPr>
                <w:color w:val="1a202c"/>
                <w:sz w:val="22"/>
              </w:rPr>
              <w:t>1994</w:t>
            </w:r>
          </w:p>
        </w:tc>
        <w:tc>
          <w:tcPr>
            <w:tcW w:w="0" w:type="auto"/>
            <w:vAlign w:val="center"/>
          </w:tcPr>
          <w:p>
            <w:pPr>
              <w:spacing w:before="0" w:after="0"/>
              <w:jc w:val="left"/>
            </w:pPr>
            <w:r>
              <w:rPr>
                <w:color w:val="1a202c"/>
                <w:sz w:val="22"/>
              </w:rPr>
              <w:t>Editorial Capture</w:t>
            </w:r>
          </w:p>
        </w:tc>
        <w:tc>
          <w:tcPr>
            <w:tcW w:w="0" w:type="auto"/>
            <w:vAlign w:val="center"/>
          </w:tcPr>
          <w:p>
            <w:pPr>
              <w:spacing w:before="0" w:after="0"/>
              <w:jc w:val="left"/>
            </w:pPr>
            <w:r>
              <w:rPr>
                <w:color w:val="1a202c"/>
                <w:sz w:val="22"/>
              </w:rPr>
              <w:t>NYT Opinion</w:t>
            </w:r>
          </w:p>
        </w:tc>
      </w:tr>
    </w:tbl>
    <w:p>
      <w:pPr>
        <w:pStyle w:val="Heading2"/>
      </w:pPr>
      <w:r>
        <w:t>CATEGORY B: LIVING BUT RETIRED - COMPLICIT IN CRIMINAL ENTERPRISE</w:t>
      </w:r>
    </w:p>
    <w:p>
      <w:pPr>
        <w:spacing w:after="200"/>
      </w:pPr>
      <w:r>
        <w:rPr>
          <w:b/>
          <w:color w:val="2c5282"/>
        </w:rPr>
        <w:t>These individuals are alive but retired from active criminal operations. They remain complicit through their silence and continued network connections.</w:t>
      </w:r>
    </w:p>
    <w:tbl>
      <w:tblPr>
        <w:tblW w:w="5000" w:type="pct"/>
        <w:tblBorders>
          <w:top w:val="single" w:color="1a365d" w:sz="8"/>
          <w:left w:val="nil"/>
          <w:bottom w:val="single" w:color="1a365d" w:sz="8"/>
          <w:right w:val="nil"/>
          <w:insideH w:val="single" w:color="d1d5db" w:sz="4"/>
          <w:insideV w:val="nil"/>
        </w:tblBorders>
        <w:tblCellMar>
          <w:top w:w="100" w:type="dxa"/>
          <w:left w:w="150" w:type="dxa"/>
          <w:bottom w:w="100" w:type="dxa"/>
          <w:right w:w="150" w:type="dxa"/>
        </w:tblCellMar>
      </w:tblPr>
      <w:tblGrid>
        <w:gridCol w:w="2500"/>
        <w:gridCol w:w="1500"/>
        <w:gridCol w:w="3500"/>
        <w:gridCol w:w="2500"/>
      </w:tblGrid>
      <w:tr>
        <w:trPr>
          <w:tblHeader/>
          <w:trHeight w:val="400" w:hRule="atLeast"/>
        </w:trPr>
        <w:tc>
          <w:tcPr>
            <w:tcW w:w="0" w:type="auto"/>
            <w:tcBorders>
              <w:bottom w:val="single" w:color="1a365d" w:sz="6"/>
            </w:tcBorders>
            <w:shd w:val="clear" w:fill="e2e8f0"/>
            <w:vAlign w:val="center"/>
          </w:tcPr>
          <w:p>
            <w:pPr>
              <w:spacing w:before="0" w:after="0"/>
              <w:jc w:val="center"/>
            </w:pPr>
            <w:r>
              <w:rPr>
                <w:b/>
                <w:color w:val="1a202c"/>
                <w:sz w:val="22"/>
              </w:rPr>
              <w:t>Name</w:t>
            </w:r>
          </w:p>
        </w:tc>
        <w:tc>
          <w:tcPr>
            <w:tcW w:w="0" w:type="auto"/>
            <w:tcBorders>
              <w:bottom w:val="single" w:color="1a365d" w:sz="6"/>
            </w:tcBorders>
            <w:shd w:val="clear" w:fill="e2e8f0"/>
            <w:vAlign w:val="center"/>
          </w:tcPr>
          <w:p>
            <w:pPr>
              <w:spacing w:before="0" w:after="0"/>
              <w:jc w:val="center"/>
            </w:pPr>
            <w:r>
              <w:rPr>
                <w:b/>
                <w:color w:val="1a202c"/>
                <w:sz w:val="22"/>
              </w:rPr>
              <w:t>Cohort</w:t>
            </w:r>
          </w:p>
        </w:tc>
        <w:tc>
          <w:tcPr>
            <w:tcW w:w="0" w:type="auto"/>
            <w:tcBorders>
              <w:bottom w:val="single" w:color="1a365d" w:sz="6"/>
            </w:tcBorders>
            <w:shd w:val="clear" w:fill="e2e8f0"/>
            <w:vAlign w:val="center"/>
          </w:tcPr>
          <w:p>
            <w:pPr>
              <w:spacing w:before="0" w:after="0"/>
              <w:jc w:val="center"/>
            </w:pPr>
            <w:r>
              <w:rPr>
                <w:b/>
                <w:color w:val="1a202c"/>
                <w:sz w:val="22"/>
              </w:rPr>
              <w:t>Former Position</w:t>
            </w:r>
          </w:p>
        </w:tc>
        <w:tc>
          <w:tcPr>
            <w:tcW w:w="0" w:type="auto"/>
            <w:tcBorders>
              <w:bottom w:val="single" w:color="1a365d" w:sz="6"/>
            </w:tcBorders>
            <w:shd w:val="clear" w:fill="e2e8f0"/>
            <w:vAlign w:val="center"/>
          </w:tcPr>
          <w:p>
            <w:pPr>
              <w:spacing w:before="0" w:after="0"/>
              <w:jc w:val="center"/>
            </w:pPr>
            <w:r>
              <w:rPr>
                <w:b/>
                <w:color w:val="1a202c"/>
                <w:sz w:val="22"/>
              </w:rPr>
              <w:t>Status</w:t>
            </w:r>
          </w:p>
        </w:tc>
      </w:tr>
      <w:tr>
        <w:trPr>
          <w:trHeight w:val="350" w:hRule="atLeast"/>
        </w:trPr>
        <w:tc>
          <w:tcPr>
            <w:tcW w:w="0" w:type="auto"/>
            <w:vAlign w:val="center"/>
          </w:tcPr>
          <w:p>
            <w:pPr>
              <w:spacing w:before="0" w:after="0"/>
              <w:jc w:val="left"/>
            </w:pPr>
            <w:r>
              <w:rPr>
                <w:color w:val="1a202c"/>
                <w:sz w:val="22"/>
              </w:rPr>
              <w:t>Victor Ashe</w:t>
            </w:r>
          </w:p>
        </w:tc>
        <w:tc>
          <w:tcPr>
            <w:tcW w:w="0" w:type="auto"/>
            <w:vAlign w:val="center"/>
          </w:tcPr>
          <w:p>
            <w:pPr>
              <w:spacing w:before="0" w:after="0"/>
              <w:jc w:val="left"/>
            </w:pPr>
            <w:r>
              <w:rPr>
                <w:color w:val="1a202c"/>
                <w:sz w:val="22"/>
              </w:rPr>
              <w:t>1967</w:t>
            </w:r>
          </w:p>
        </w:tc>
        <w:tc>
          <w:tcPr>
            <w:tcW w:w="0" w:type="auto"/>
            <w:vAlign w:val="center"/>
          </w:tcPr>
          <w:p>
            <w:pPr>
              <w:spacing w:before="0" w:after="0"/>
              <w:jc w:val="left"/>
            </w:pPr>
            <w:r>
              <w:rPr>
                <w:color w:val="1a202c"/>
                <w:sz w:val="22"/>
              </w:rPr>
              <w:t>Ambassador to Poland</w:t>
            </w:r>
          </w:p>
        </w:tc>
        <w:tc>
          <w:tcPr>
            <w:tcW w:w="0" w:type="auto"/>
            <w:vAlign w:val="center"/>
          </w:tcPr>
          <w:p>
            <w:pPr>
              <w:spacing w:before="0" w:after="0"/>
              <w:jc w:val="left"/>
            </w:pPr>
            <w:r>
              <w:rPr>
                <w:color w:val="1a202c"/>
                <w:sz w:val="22"/>
              </w:rPr>
              <w:t>Retired</w:t>
            </w:r>
          </w:p>
        </w:tc>
      </w:tr>
      <w:tr>
        <w:trPr>
          <w:trHeight w:val="350" w:hRule="atLeast"/>
        </w:trPr>
        <w:tc>
          <w:tcPr>
            <w:tcW w:w="0" w:type="auto"/>
            <w:vAlign w:val="center"/>
          </w:tcPr>
          <w:p>
            <w:pPr>
              <w:spacing w:before="0" w:after="0"/>
              <w:jc w:val="left"/>
            </w:pPr>
            <w:r>
              <w:rPr>
                <w:color w:val="1a202c"/>
                <w:sz w:val="22"/>
              </w:rPr>
              <w:t>Roy Austin</w:t>
            </w:r>
          </w:p>
        </w:tc>
        <w:tc>
          <w:tcPr>
            <w:tcW w:w="0" w:type="auto"/>
            <w:vAlign w:val="center"/>
          </w:tcPr>
          <w:p>
            <w:pPr>
              <w:spacing w:before="0" w:after="0"/>
              <w:jc w:val="left"/>
            </w:pPr>
            <w:r>
              <w:rPr>
                <w:color w:val="1a202c"/>
                <w:sz w:val="22"/>
              </w:rPr>
              <w:t>1968</w:t>
            </w:r>
          </w:p>
        </w:tc>
        <w:tc>
          <w:tcPr>
            <w:tcW w:w="0" w:type="auto"/>
            <w:vAlign w:val="center"/>
          </w:tcPr>
          <w:p>
            <w:pPr>
              <w:spacing w:before="0" w:after="0"/>
              <w:jc w:val="left"/>
            </w:pPr>
            <w:r>
              <w:rPr>
                <w:color w:val="1a202c"/>
                <w:sz w:val="22"/>
              </w:rPr>
              <w:t>Ambassador to Trinidad</w:t>
            </w:r>
          </w:p>
        </w:tc>
        <w:tc>
          <w:tcPr>
            <w:tcW w:w="0" w:type="auto"/>
            <w:vAlign w:val="center"/>
          </w:tcPr>
          <w:p>
            <w:pPr>
              <w:spacing w:before="0" w:after="0"/>
              <w:jc w:val="left"/>
            </w:pPr>
            <w:r>
              <w:rPr>
                <w:color w:val="1a202c"/>
                <w:sz w:val="22"/>
              </w:rPr>
              <w:t>Retired</w:t>
            </w:r>
          </w:p>
        </w:tc>
      </w:tr>
      <w:tr>
        <w:trPr>
          <w:trHeight w:val="350" w:hRule="atLeast"/>
        </w:trPr>
        <w:tc>
          <w:tcPr>
            <w:tcW w:w="0" w:type="auto"/>
            <w:vAlign w:val="center"/>
          </w:tcPr>
          <w:p>
            <w:pPr>
              <w:spacing w:before="0" w:after="0"/>
              <w:jc w:val="left"/>
            </w:pPr>
            <w:r>
              <w:rPr>
                <w:color w:val="1a202c"/>
                <w:sz w:val="22"/>
              </w:rPr>
              <w:t>Rex Cowdry</w:t>
            </w:r>
          </w:p>
        </w:tc>
        <w:tc>
          <w:tcPr>
            <w:tcW w:w="0" w:type="auto"/>
            <w:vAlign w:val="center"/>
          </w:tcPr>
          <w:p>
            <w:pPr>
              <w:spacing w:before="0" w:after="0"/>
              <w:jc w:val="left"/>
            </w:pPr>
            <w:r>
              <w:rPr>
                <w:color w:val="1a202c"/>
                <w:sz w:val="22"/>
              </w:rPr>
              <w:t>1968</w:t>
            </w:r>
          </w:p>
        </w:tc>
        <w:tc>
          <w:tcPr>
            <w:tcW w:w="0" w:type="auto"/>
            <w:vAlign w:val="center"/>
          </w:tcPr>
          <w:p>
            <w:pPr>
              <w:spacing w:before="0" w:after="0"/>
              <w:jc w:val="left"/>
            </w:pPr>
            <w:r>
              <w:rPr>
                <w:color w:val="1a202c"/>
                <w:sz w:val="22"/>
              </w:rPr>
              <w:t>NIMH Director</w:t>
            </w:r>
          </w:p>
        </w:tc>
        <w:tc>
          <w:tcPr>
            <w:tcW w:w="0" w:type="auto"/>
            <w:vAlign w:val="center"/>
          </w:tcPr>
          <w:p>
            <w:pPr>
              <w:spacing w:before="0" w:after="0"/>
              <w:jc w:val="left"/>
            </w:pPr>
            <w:r>
              <w:rPr>
                <w:color w:val="1a202c"/>
                <w:sz w:val="22"/>
              </w:rPr>
              <w:t>Retired</w:t>
            </w:r>
          </w:p>
        </w:tc>
      </w:tr>
      <w:tr>
        <w:trPr>
          <w:trHeight w:val="350" w:hRule="atLeast"/>
        </w:trPr>
        <w:tc>
          <w:tcPr>
            <w:tcW w:w="0" w:type="auto"/>
            <w:vAlign w:val="center"/>
          </w:tcPr>
          <w:p>
            <w:pPr>
              <w:spacing w:before="0" w:after="0"/>
              <w:jc w:val="left"/>
            </w:pPr>
            <w:r>
              <w:rPr>
                <w:color w:val="1a202c"/>
                <w:sz w:val="22"/>
              </w:rPr>
              <w:t>Robert McCallum Jr.</w:t>
            </w:r>
          </w:p>
        </w:tc>
        <w:tc>
          <w:tcPr>
            <w:tcW w:w="0" w:type="auto"/>
            <w:vAlign w:val="center"/>
          </w:tcPr>
          <w:p>
            <w:pPr>
              <w:spacing w:before="0" w:after="0"/>
              <w:jc w:val="left"/>
            </w:pPr>
            <w:r>
              <w:rPr>
                <w:color w:val="1a202c"/>
                <w:sz w:val="22"/>
              </w:rPr>
              <w:t>1968</w:t>
            </w:r>
          </w:p>
        </w:tc>
        <w:tc>
          <w:tcPr>
            <w:tcW w:w="0" w:type="auto"/>
            <w:vAlign w:val="center"/>
          </w:tcPr>
          <w:p>
            <w:pPr>
              <w:spacing w:before="0" w:after="0"/>
              <w:jc w:val="left"/>
            </w:pPr>
            <w:r>
              <w:rPr>
                <w:color w:val="1a202c"/>
                <w:sz w:val="22"/>
              </w:rPr>
              <w:t>Associate Attorney General</w:t>
            </w:r>
          </w:p>
        </w:tc>
        <w:tc>
          <w:tcPr>
            <w:tcW w:w="0" w:type="auto"/>
            <w:vAlign w:val="center"/>
          </w:tcPr>
          <w:p>
            <w:pPr>
              <w:spacing w:before="0" w:after="0"/>
              <w:jc w:val="left"/>
            </w:pPr>
            <w:r>
              <w:rPr>
                <w:color w:val="1a202c"/>
                <w:sz w:val="22"/>
              </w:rPr>
              <w:t>Retired</w:t>
            </w:r>
          </w:p>
        </w:tc>
      </w:tr>
    </w:tbl>
    <w:p>
      <w:pPr>
        <w:pStyle w:val="Heading2"/>
      </w:pPr>
      <w:r>
        <w:t>CATEGORY C: DECEASED - HISTORICAL CRIMES (No Statute of Limitations for Treason)</w:t>
      </w:r>
    </w:p>
    <w:p>
      <w:pPr>
        <w:spacing w:after="200"/>
      </w:pPr>
      <w:r>
        <w:rPr>
          <w:b/>
          <w:color w:val="4a5568"/>
        </w:rPr>
        <w:t>These individuals are deceased but their crimes remain prosecutable under international law. There is no statute of limitations for war crimes, crimes against humanity, or treason.</w:t>
      </w:r>
    </w:p>
    <w:tbl>
      <w:tblPr>
        <w:tblW w:w="5000" w:type="pct"/>
        <w:tblBorders>
          <w:top w:val="single" w:color="1a365d" w:sz="8"/>
          <w:left w:val="nil"/>
          <w:bottom w:val="single" w:color="1a365d" w:sz="8"/>
          <w:right w:val="nil"/>
          <w:insideH w:val="single" w:color="d1d5db" w:sz="4"/>
          <w:insideV w:val="nil"/>
        </w:tblBorders>
        <w:tblCellMar>
          <w:top w:w="100" w:type="dxa"/>
          <w:left w:w="150" w:type="dxa"/>
          <w:bottom w:w="100" w:type="dxa"/>
          <w:right w:w="150" w:type="dxa"/>
        </w:tblCellMar>
      </w:tblPr>
      <w:tblGrid>
        <w:gridCol w:w="2500"/>
        <w:gridCol w:w="1500"/>
        <w:gridCol w:w="3500"/>
        <w:gridCol w:w="2500"/>
      </w:tblGrid>
      <w:tr>
        <w:trPr>
          <w:tblHeader/>
          <w:trHeight w:val="400" w:hRule="atLeast"/>
        </w:trPr>
        <w:tc>
          <w:tcPr>
            <w:tcW w:w="0" w:type="auto"/>
            <w:tcBorders>
              <w:bottom w:val="single" w:color="1a365d" w:sz="6"/>
            </w:tcBorders>
            <w:shd w:val="clear" w:fill="e2e8f0"/>
            <w:vAlign w:val="center"/>
          </w:tcPr>
          <w:p>
            <w:pPr>
              <w:spacing w:before="0" w:after="0"/>
              <w:jc w:val="center"/>
            </w:pPr>
            <w:r>
              <w:rPr>
                <w:b/>
                <w:color w:val="1a202c"/>
                <w:sz w:val="22"/>
              </w:rPr>
              <w:t>Name</w:t>
            </w:r>
          </w:p>
        </w:tc>
        <w:tc>
          <w:tcPr>
            <w:tcW w:w="0" w:type="auto"/>
            <w:tcBorders>
              <w:bottom w:val="single" w:color="1a365d" w:sz="6"/>
            </w:tcBorders>
            <w:shd w:val="clear" w:fill="e2e8f0"/>
            <w:vAlign w:val="center"/>
          </w:tcPr>
          <w:p>
            <w:pPr>
              <w:spacing w:before="0" w:after="0"/>
              <w:jc w:val="center"/>
            </w:pPr>
            <w:r>
              <w:rPr>
                <w:b/>
                <w:color w:val="1a202c"/>
                <w:sz w:val="22"/>
              </w:rPr>
              <w:t>Cohort</w:t>
            </w:r>
          </w:p>
        </w:tc>
        <w:tc>
          <w:tcPr>
            <w:tcW w:w="0" w:type="auto"/>
            <w:tcBorders>
              <w:bottom w:val="single" w:color="1a365d" w:sz="6"/>
            </w:tcBorders>
            <w:shd w:val="clear" w:fill="e2e8f0"/>
            <w:vAlign w:val="center"/>
          </w:tcPr>
          <w:p>
            <w:pPr>
              <w:spacing w:before="0" w:after="0"/>
              <w:jc w:val="center"/>
            </w:pPr>
            <w:r>
              <w:rPr>
                <w:b/>
                <w:color w:val="1a202c"/>
                <w:sz w:val="22"/>
              </w:rPr>
              <w:t>Primary Crimes</w:t>
            </w:r>
          </w:p>
        </w:tc>
        <w:tc>
          <w:tcPr>
            <w:tcW w:w="0" w:type="auto"/>
            <w:tcBorders>
              <w:bottom w:val="single" w:color="1a365d" w:sz="6"/>
            </w:tcBorders>
            <w:shd w:val="clear" w:fill="e2e8f0"/>
            <w:vAlign w:val="center"/>
          </w:tcPr>
          <w:p>
            <w:pPr>
              <w:spacing w:before="0" w:after="0"/>
              <w:jc w:val="center"/>
            </w:pPr>
            <w:r>
              <w:rPr>
                <w:b/>
                <w:color w:val="1a202c"/>
                <w:sz w:val="22"/>
              </w:rPr>
              <w:t>Deceased</w:t>
            </w:r>
          </w:p>
        </w:tc>
      </w:tr>
      <w:tr>
        <w:trPr>
          <w:trHeight w:val="350" w:hRule="atLeast"/>
        </w:trPr>
        <w:tc>
          <w:tcPr>
            <w:tcW w:w="0" w:type="auto"/>
            <w:vAlign w:val="center"/>
          </w:tcPr>
          <w:p>
            <w:pPr>
              <w:spacing w:before="0" w:after="0"/>
              <w:jc w:val="left"/>
            </w:pPr>
            <w:r>
              <w:rPr>
                <w:color w:val="1a202c"/>
                <w:sz w:val="22"/>
              </w:rPr>
              <w:t>Prescott Bush</w:t>
            </w:r>
          </w:p>
        </w:tc>
        <w:tc>
          <w:tcPr>
            <w:tcW w:w="0" w:type="auto"/>
            <w:vAlign w:val="center"/>
          </w:tcPr>
          <w:p>
            <w:pPr>
              <w:spacing w:before="0" w:after="0"/>
              <w:jc w:val="left"/>
            </w:pPr>
            <w:r>
              <w:rPr>
                <w:color w:val="1a202c"/>
                <w:sz w:val="22"/>
              </w:rPr>
              <w:t>1917</w:t>
            </w:r>
          </w:p>
        </w:tc>
        <w:tc>
          <w:tcPr>
            <w:tcW w:w="0" w:type="auto"/>
            <w:vAlign w:val="center"/>
          </w:tcPr>
          <w:p>
            <w:pPr>
              <w:spacing w:before="0" w:after="0"/>
              <w:jc w:val="left"/>
            </w:pPr>
            <w:r>
              <w:rPr>
                <w:color w:val="1a202c"/>
                <w:sz w:val="22"/>
              </w:rPr>
              <w:t>Trading with Enemy, Treason, Grave Robbery</w:t>
            </w:r>
          </w:p>
        </w:tc>
        <w:tc>
          <w:tcPr>
            <w:tcW w:w="0" w:type="auto"/>
            <w:vAlign w:val="center"/>
          </w:tcPr>
          <w:p>
            <w:pPr>
              <w:spacing w:before="0" w:after="0"/>
              <w:jc w:val="left"/>
            </w:pPr>
            <w:r>
              <w:rPr>
                <w:color w:val="1a202c"/>
                <w:sz w:val="22"/>
              </w:rPr>
              <w:t>1972</w:t>
            </w:r>
          </w:p>
        </w:tc>
      </w:tr>
      <w:tr>
        <w:trPr>
          <w:trHeight w:val="350" w:hRule="atLeast"/>
        </w:trPr>
        <w:tc>
          <w:tcPr>
            <w:tcW w:w="0" w:type="auto"/>
            <w:vAlign w:val="center"/>
          </w:tcPr>
          <w:p>
            <w:pPr>
              <w:spacing w:before="0" w:after="0"/>
              <w:jc w:val="left"/>
            </w:pPr>
            <w:r>
              <w:rPr>
                <w:color w:val="1a202c"/>
                <w:sz w:val="22"/>
              </w:rPr>
              <w:t>George H.W. Bush</w:t>
            </w:r>
          </w:p>
        </w:tc>
        <w:tc>
          <w:tcPr>
            <w:tcW w:w="0" w:type="auto"/>
            <w:vAlign w:val="center"/>
          </w:tcPr>
          <w:p>
            <w:pPr>
              <w:spacing w:before="0" w:after="0"/>
              <w:jc w:val="left"/>
            </w:pPr>
            <w:r>
              <w:rPr>
                <w:color w:val="1a202c"/>
                <w:sz w:val="22"/>
              </w:rPr>
              <w:t>1948</w:t>
            </w:r>
          </w:p>
        </w:tc>
        <w:tc>
          <w:tcPr>
            <w:tcW w:w="0" w:type="auto"/>
            <w:vAlign w:val="center"/>
          </w:tcPr>
          <w:p>
            <w:pPr>
              <w:spacing w:before="0" w:after="0"/>
              <w:jc w:val="left"/>
            </w:pPr>
            <w:r>
              <w:rPr>
                <w:color w:val="1a202c"/>
                <w:sz w:val="22"/>
              </w:rPr>
              <w:t>War Crimes, CIA Drug Trafficking</w:t>
            </w:r>
          </w:p>
        </w:tc>
        <w:tc>
          <w:tcPr>
            <w:tcW w:w="0" w:type="auto"/>
            <w:vAlign w:val="center"/>
          </w:tcPr>
          <w:p>
            <w:pPr>
              <w:spacing w:before="0" w:after="0"/>
              <w:jc w:val="left"/>
            </w:pPr>
            <w:r>
              <w:rPr>
                <w:color w:val="1a202c"/>
                <w:sz w:val="22"/>
              </w:rPr>
              <w:t>2018</w:t>
            </w:r>
          </w:p>
        </w:tc>
      </w:tr>
      <w:tr>
        <w:trPr>
          <w:trHeight w:val="350" w:hRule="atLeast"/>
        </w:trPr>
        <w:tc>
          <w:tcPr>
            <w:tcW w:w="0" w:type="auto"/>
            <w:vAlign w:val="center"/>
          </w:tcPr>
          <w:p>
            <w:pPr>
              <w:spacing w:before="0" w:after="0"/>
              <w:jc w:val="left"/>
            </w:pPr>
            <w:r>
              <w:rPr>
                <w:color w:val="1a202c"/>
                <w:sz w:val="22"/>
              </w:rPr>
              <w:t>W.H. Russell</w:t>
            </w:r>
          </w:p>
        </w:tc>
        <w:tc>
          <w:tcPr>
            <w:tcW w:w="0" w:type="auto"/>
            <w:vAlign w:val="center"/>
          </w:tcPr>
          <w:p>
            <w:pPr>
              <w:spacing w:before="0" w:after="0"/>
              <w:jc w:val="left"/>
            </w:pPr>
            <w:r>
              <w:rPr>
                <w:color w:val="1a202c"/>
                <w:sz w:val="22"/>
              </w:rPr>
              <w:t>Founder</w:t>
            </w:r>
          </w:p>
        </w:tc>
        <w:tc>
          <w:tcPr>
            <w:tcW w:w="0" w:type="auto"/>
            <w:vAlign w:val="center"/>
          </w:tcPr>
          <w:p>
            <w:pPr>
              <w:spacing w:before="0" w:after="0"/>
              <w:jc w:val="left"/>
            </w:pPr>
            <w:r>
              <w:rPr>
                <w:color w:val="1a202c"/>
                <w:sz w:val="22"/>
              </w:rPr>
              <w:t>Opium Trade, Secret Society Conspiracy</w:t>
            </w:r>
          </w:p>
        </w:tc>
        <w:tc>
          <w:tcPr>
            <w:tcW w:w="0" w:type="auto"/>
            <w:vAlign w:val="center"/>
          </w:tcPr>
          <w:p>
            <w:pPr>
              <w:spacing w:before="0" w:after="0"/>
              <w:jc w:val="left"/>
            </w:pPr>
            <w:r>
              <w:rPr>
                <w:color w:val="1a202c"/>
                <w:sz w:val="22"/>
              </w:rPr>
              <w:t>1885</w:t>
            </w:r>
          </w:p>
        </w:tc>
      </w:tr>
      <w:tr>
        <w:trPr>
          <w:trHeight w:val="350" w:hRule="atLeast"/>
        </w:trPr>
        <w:tc>
          <w:tcPr>
            <w:tcW w:w="0" w:type="auto"/>
            <w:vAlign w:val="center"/>
          </w:tcPr>
          <w:p>
            <w:pPr>
              <w:spacing w:before="0" w:after="0"/>
              <w:jc w:val="left"/>
            </w:pPr>
            <w:r>
              <w:rPr>
                <w:color w:val="1a202c"/>
                <w:sz w:val="22"/>
              </w:rPr>
              <w:t>Averell Harriman</w:t>
            </w:r>
          </w:p>
        </w:tc>
        <w:tc>
          <w:tcPr>
            <w:tcW w:w="0" w:type="auto"/>
            <w:vAlign w:val="center"/>
          </w:tcPr>
          <w:p>
            <w:pPr>
              <w:spacing w:before="0" w:after="0"/>
              <w:jc w:val="left"/>
            </w:pPr>
            <w:r>
              <w:rPr>
                <w:color w:val="1a202c"/>
                <w:sz w:val="22"/>
              </w:rPr>
              <w:t>1913</w:t>
            </w:r>
          </w:p>
        </w:tc>
        <w:tc>
          <w:tcPr>
            <w:tcW w:w="0" w:type="auto"/>
            <w:vAlign w:val="center"/>
          </w:tcPr>
          <w:p>
            <w:pPr>
              <w:spacing w:before="0" w:after="0"/>
              <w:jc w:val="left"/>
            </w:pPr>
            <w:r>
              <w:rPr>
                <w:color w:val="1a202c"/>
                <w:sz w:val="22"/>
              </w:rPr>
              <w:t>Nazi Financing, War Profiteering</w:t>
            </w:r>
          </w:p>
        </w:tc>
        <w:tc>
          <w:tcPr>
            <w:tcW w:w="0" w:type="auto"/>
            <w:vAlign w:val="center"/>
          </w:tcPr>
          <w:p>
            <w:pPr>
              <w:spacing w:before="0" w:after="0"/>
              <w:jc w:val="left"/>
            </w:pPr>
            <w:r>
              <w:rPr>
                <w:color w:val="1a202c"/>
                <w:sz w:val="22"/>
              </w:rPr>
              <w:t>1986</w:t>
            </w:r>
          </w:p>
        </w:tc>
      </w:tr>
      <w:tr>
        <w:trPr>
          <w:trHeight w:val="350" w:hRule="atLeast"/>
        </w:trPr>
        <w:tc>
          <w:tcPr>
            <w:tcW w:w="0" w:type="auto"/>
            <w:vAlign w:val="center"/>
          </w:tcPr>
          <w:p>
            <w:pPr>
              <w:spacing w:before="0" w:after="0"/>
              <w:jc w:val="left"/>
            </w:pPr>
            <w:r>
              <w:rPr>
                <w:color w:val="1a202c"/>
                <w:sz w:val="22"/>
              </w:rPr>
              <w:t>George H. Walker</w:t>
            </w:r>
          </w:p>
        </w:tc>
        <w:tc>
          <w:tcPr>
            <w:tcW w:w="0" w:type="auto"/>
            <w:vAlign w:val="center"/>
          </w:tcPr>
          <w:p>
            <w:pPr>
              <w:spacing w:before="0" w:after="0"/>
              <w:jc w:val="left"/>
            </w:pPr>
            <w:r>
              <w:rPr>
                <w:color w:val="1a202c"/>
                <w:sz w:val="22"/>
              </w:rPr>
              <w:t>N/A</w:t>
            </w:r>
          </w:p>
        </w:tc>
        <w:tc>
          <w:tcPr>
            <w:tcW w:w="0" w:type="auto"/>
            <w:vAlign w:val="center"/>
          </w:tcPr>
          <w:p>
            <w:pPr>
              <w:spacing w:before="0" w:after="0"/>
              <w:jc w:val="left"/>
            </w:pPr>
            <w:r>
              <w:rPr>
                <w:color w:val="1a202c"/>
                <w:sz w:val="22"/>
              </w:rPr>
              <w:t>Nazi Financial Infrastructure</w:t>
            </w:r>
          </w:p>
        </w:tc>
        <w:tc>
          <w:tcPr>
            <w:tcW w:w="0" w:type="auto"/>
            <w:vAlign w:val="center"/>
          </w:tcPr>
          <w:p>
            <w:pPr>
              <w:spacing w:before="0" w:after="0"/>
              <w:jc w:val="left"/>
            </w:pPr>
            <w:r>
              <w:rPr>
                <w:color w:val="1a202c"/>
                <w:sz w:val="22"/>
              </w:rPr>
              <w:t>1953</w:t>
            </w:r>
          </w:p>
        </w:tc>
      </w:tr>
      <w:tr>
        <w:trPr>
          <w:trHeight w:val="350" w:hRule="atLeast"/>
        </w:trPr>
        <w:tc>
          <w:tcPr>
            <w:tcW w:w="0" w:type="auto"/>
            <w:vAlign w:val="center"/>
          </w:tcPr>
          <w:p>
            <w:pPr>
              <w:spacing w:before="0" w:after="0"/>
              <w:jc w:val="left"/>
            </w:pPr>
            <w:r>
              <w:rPr>
                <w:color w:val="1a202c"/>
                <w:sz w:val="22"/>
              </w:rPr>
              <w:t>McGeorge Bundy</w:t>
            </w:r>
          </w:p>
        </w:tc>
        <w:tc>
          <w:tcPr>
            <w:tcW w:w="0" w:type="auto"/>
            <w:vAlign w:val="center"/>
          </w:tcPr>
          <w:p>
            <w:pPr>
              <w:spacing w:before="0" w:after="0"/>
              <w:jc w:val="left"/>
            </w:pPr>
            <w:r>
              <w:rPr>
                <w:color w:val="1a202c"/>
                <w:sz w:val="22"/>
              </w:rPr>
              <w:t>1940</w:t>
            </w:r>
          </w:p>
        </w:tc>
        <w:tc>
          <w:tcPr>
            <w:tcW w:w="0" w:type="auto"/>
            <w:vAlign w:val="center"/>
          </w:tcPr>
          <w:p>
            <w:pPr>
              <w:spacing w:before="0" w:after="0"/>
              <w:jc w:val="left"/>
            </w:pPr>
            <w:r>
              <w:rPr>
                <w:color w:val="1a202c"/>
                <w:sz w:val="22"/>
              </w:rPr>
              <w:t>War Crimes (Vietnam), Agent Orange</w:t>
            </w:r>
          </w:p>
        </w:tc>
        <w:tc>
          <w:tcPr>
            <w:tcW w:w="0" w:type="auto"/>
            <w:vAlign w:val="center"/>
          </w:tcPr>
          <w:p>
            <w:pPr>
              <w:spacing w:before="0" w:after="0"/>
              <w:jc w:val="left"/>
            </w:pPr>
            <w:r>
              <w:rPr>
                <w:color w:val="1a202c"/>
                <w:sz w:val="22"/>
              </w:rPr>
              <w:t>1996</w:t>
            </w:r>
          </w:p>
        </w:tc>
      </w:tr>
      <w:tr>
        <w:trPr>
          <w:trHeight w:val="350" w:hRule="atLeast"/>
        </w:trPr>
        <w:tc>
          <w:tcPr>
            <w:tcW w:w="0" w:type="auto"/>
            <w:vAlign w:val="center"/>
          </w:tcPr>
          <w:p>
            <w:pPr>
              <w:spacing w:before="0" w:after="0"/>
              <w:jc w:val="left"/>
            </w:pPr>
            <w:r>
              <w:rPr>
                <w:color w:val="1a202c"/>
                <w:sz w:val="22"/>
              </w:rPr>
              <w:t>William Bundy</w:t>
            </w:r>
          </w:p>
        </w:tc>
        <w:tc>
          <w:tcPr>
            <w:tcW w:w="0" w:type="auto"/>
            <w:vAlign w:val="center"/>
          </w:tcPr>
          <w:p>
            <w:pPr>
              <w:spacing w:before="0" w:after="0"/>
              <w:jc w:val="left"/>
            </w:pPr>
            <w:r>
              <w:rPr>
                <w:color w:val="1a202c"/>
                <w:sz w:val="22"/>
              </w:rPr>
              <w:t>1939</w:t>
            </w:r>
          </w:p>
        </w:tc>
        <w:tc>
          <w:tcPr>
            <w:tcW w:w="0" w:type="auto"/>
            <w:vAlign w:val="center"/>
          </w:tcPr>
          <w:p>
            <w:pPr>
              <w:spacing w:before="0" w:after="0"/>
              <w:jc w:val="left"/>
            </w:pPr>
            <w:r>
              <w:rPr>
                <w:color w:val="1a202c"/>
                <w:sz w:val="22"/>
              </w:rPr>
              <w:t>War Crimes (Vietnam), Gulf of Tonkin Fraud</w:t>
            </w:r>
          </w:p>
        </w:tc>
        <w:tc>
          <w:tcPr>
            <w:tcW w:w="0" w:type="auto"/>
            <w:vAlign w:val="center"/>
          </w:tcPr>
          <w:p>
            <w:pPr>
              <w:spacing w:before="0" w:after="0"/>
              <w:jc w:val="left"/>
            </w:pPr>
            <w:r>
              <w:rPr>
                <w:color w:val="1a202c"/>
                <w:sz w:val="22"/>
              </w:rPr>
              <w:t>2000</w:t>
            </w:r>
          </w:p>
        </w:tc>
      </w:tr>
      <w:tr>
        <w:trPr>
          <w:trHeight w:val="350" w:hRule="atLeast"/>
        </w:trPr>
        <w:tc>
          <w:tcPr>
            <w:tcW w:w="0" w:type="auto"/>
            <w:vAlign w:val="center"/>
          </w:tcPr>
          <w:p>
            <w:pPr>
              <w:spacing w:before="0" w:after="0"/>
              <w:jc w:val="left"/>
            </w:pPr>
            <w:r>
              <w:rPr>
                <w:color w:val="1a202c"/>
                <w:sz w:val="22"/>
              </w:rPr>
              <w:t>Henry Luce</w:t>
            </w:r>
          </w:p>
        </w:tc>
        <w:tc>
          <w:tcPr>
            <w:tcW w:w="0" w:type="auto"/>
            <w:vAlign w:val="center"/>
          </w:tcPr>
          <w:p>
            <w:pPr>
              <w:spacing w:before="0" w:after="0"/>
              <w:jc w:val="left"/>
            </w:pPr>
            <w:r>
              <w:rPr>
                <w:color w:val="1a202c"/>
                <w:sz w:val="22"/>
              </w:rPr>
              <w:t>1920</w:t>
            </w:r>
          </w:p>
        </w:tc>
        <w:tc>
          <w:tcPr>
            <w:tcW w:w="0" w:type="auto"/>
            <w:vAlign w:val="center"/>
          </w:tcPr>
          <w:p>
            <w:pPr>
              <w:spacing w:before="0" w:after="0"/>
              <w:jc w:val="left"/>
            </w:pPr>
            <w:r>
              <w:rPr>
                <w:color w:val="1a202c"/>
                <w:sz w:val="22"/>
              </w:rPr>
              <w:t>CIA Propaganda, JFK Cover-up</w:t>
            </w:r>
          </w:p>
        </w:tc>
        <w:tc>
          <w:tcPr>
            <w:tcW w:w="0" w:type="auto"/>
            <w:vAlign w:val="center"/>
          </w:tcPr>
          <w:p>
            <w:pPr>
              <w:spacing w:before="0" w:after="0"/>
              <w:jc w:val="left"/>
            </w:pPr>
            <w:r>
              <w:rPr>
                <w:color w:val="1a202c"/>
                <w:sz w:val="22"/>
              </w:rPr>
              <w:t>1967</w:t>
            </w:r>
          </w:p>
        </w:tc>
      </w:tr>
      <w:tr>
        <w:trPr>
          <w:trHeight w:val="350" w:hRule="atLeast"/>
        </w:trPr>
        <w:tc>
          <w:tcPr>
            <w:tcW w:w="0" w:type="auto"/>
            <w:vAlign w:val="center"/>
          </w:tcPr>
          <w:p>
            <w:pPr>
              <w:spacing w:before="0" w:after="0"/>
              <w:jc w:val="left"/>
            </w:pPr>
            <w:r>
              <w:rPr>
                <w:color w:val="1a202c"/>
                <w:sz w:val="22"/>
              </w:rPr>
              <w:t>Henry Stimson</w:t>
            </w:r>
          </w:p>
        </w:tc>
        <w:tc>
          <w:tcPr>
            <w:tcW w:w="0" w:type="auto"/>
            <w:vAlign w:val="center"/>
          </w:tcPr>
          <w:p>
            <w:pPr>
              <w:spacing w:before="0" w:after="0"/>
              <w:jc w:val="left"/>
            </w:pPr>
            <w:r>
              <w:rPr>
                <w:color w:val="1a202c"/>
                <w:sz w:val="22"/>
              </w:rPr>
              <w:t>1888</w:t>
            </w:r>
          </w:p>
        </w:tc>
        <w:tc>
          <w:tcPr>
            <w:tcW w:w="0" w:type="auto"/>
            <w:vAlign w:val="center"/>
          </w:tcPr>
          <w:p>
            <w:pPr>
              <w:spacing w:before="0" w:after="0"/>
              <w:jc w:val="left"/>
            </w:pPr>
            <w:r>
              <w:rPr>
                <w:color w:val="1a202c"/>
                <w:sz w:val="22"/>
              </w:rPr>
              <w:t>War Crimes (Atomic Bomb)</w:t>
            </w:r>
          </w:p>
        </w:tc>
        <w:tc>
          <w:tcPr>
            <w:tcW w:w="0" w:type="auto"/>
            <w:vAlign w:val="center"/>
          </w:tcPr>
          <w:p>
            <w:pPr>
              <w:spacing w:before="0" w:after="0"/>
              <w:jc w:val="left"/>
            </w:pPr>
            <w:r>
              <w:rPr>
                <w:color w:val="1a202c"/>
                <w:sz w:val="22"/>
              </w:rPr>
              <w:t>1950</w:t>
            </w:r>
          </w:p>
        </w:tc>
      </w:tr>
      <w:tr>
        <w:trPr>
          <w:trHeight w:val="350" w:hRule="atLeast"/>
        </w:trPr>
        <w:tc>
          <w:tcPr>
            <w:tcW w:w="0" w:type="auto"/>
            <w:vAlign w:val="center"/>
          </w:tcPr>
          <w:p>
            <w:pPr>
              <w:spacing w:before="0" w:after="0"/>
              <w:jc w:val="left"/>
            </w:pPr>
            <w:r>
              <w:rPr>
                <w:color w:val="1a202c"/>
                <w:sz w:val="22"/>
              </w:rPr>
              <w:t>Robert Lovett</w:t>
            </w:r>
          </w:p>
        </w:tc>
        <w:tc>
          <w:tcPr>
            <w:tcW w:w="0" w:type="auto"/>
            <w:vAlign w:val="center"/>
          </w:tcPr>
          <w:p>
            <w:pPr>
              <w:spacing w:before="0" w:after="0"/>
              <w:jc w:val="left"/>
            </w:pPr>
            <w:r>
              <w:rPr>
                <w:color w:val="1a202c"/>
                <w:sz w:val="22"/>
              </w:rPr>
              <w:t>1918</w:t>
            </w:r>
          </w:p>
        </w:tc>
        <w:tc>
          <w:tcPr>
            <w:tcW w:w="0" w:type="auto"/>
            <w:vAlign w:val="center"/>
          </w:tcPr>
          <w:p>
            <w:pPr>
              <w:spacing w:before="0" w:after="0"/>
              <w:jc w:val="left"/>
            </w:pPr>
            <w:r>
              <w:rPr>
                <w:color w:val="1a202c"/>
                <w:sz w:val="22"/>
              </w:rPr>
              <w:t>CIA Coup Operations</w:t>
            </w:r>
          </w:p>
        </w:tc>
        <w:tc>
          <w:tcPr>
            <w:tcW w:w="0" w:type="auto"/>
            <w:vAlign w:val="center"/>
          </w:tcPr>
          <w:p>
            <w:pPr>
              <w:spacing w:before="0" w:after="0"/>
              <w:jc w:val="left"/>
            </w:pPr>
            <w:r>
              <w:rPr>
                <w:color w:val="1a202c"/>
                <w:sz w:val="22"/>
              </w:rPr>
              <w:t>1986</w:t>
            </w:r>
          </w:p>
        </w:tc>
      </w:tr>
      <w:tr>
        <w:trPr>
          <w:trHeight w:val="350" w:hRule="atLeast"/>
        </w:trPr>
        <w:tc>
          <w:tcPr>
            <w:tcW w:w="0" w:type="auto"/>
            <w:vAlign w:val="center"/>
          </w:tcPr>
          <w:p>
            <w:pPr>
              <w:spacing w:before="0" w:after="0"/>
              <w:jc w:val="left"/>
            </w:pPr>
            <w:r>
              <w:rPr>
                <w:color w:val="1a202c"/>
                <w:sz w:val="22"/>
              </w:rPr>
              <w:t>W.F. Buckley Jr.</w:t>
            </w:r>
          </w:p>
        </w:tc>
        <w:tc>
          <w:tcPr>
            <w:tcW w:w="0" w:type="auto"/>
            <w:vAlign w:val="center"/>
          </w:tcPr>
          <w:p>
            <w:pPr>
              <w:spacing w:before="0" w:after="0"/>
              <w:jc w:val="left"/>
            </w:pPr>
            <w:r>
              <w:rPr>
                <w:color w:val="1a202c"/>
                <w:sz w:val="22"/>
              </w:rPr>
              <w:t>1950</w:t>
            </w:r>
          </w:p>
        </w:tc>
        <w:tc>
          <w:tcPr>
            <w:tcW w:w="0" w:type="auto"/>
            <w:vAlign w:val="center"/>
          </w:tcPr>
          <w:p>
            <w:pPr>
              <w:spacing w:before="0" w:after="0"/>
              <w:jc w:val="left"/>
            </w:pPr>
            <w:r>
              <w:rPr>
                <w:color w:val="1a202c"/>
                <w:sz w:val="22"/>
              </w:rPr>
              <w:t>CIA Propaganda Operations</w:t>
            </w:r>
          </w:p>
        </w:tc>
        <w:tc>
          <w:tcPr>
            <w:tcW w:w="0" w:type="auto"/>
            <w:vAlign w:val="center"/>
          </w:tcPr>
          <w:p>
            <w:pPr>
              <w:spacing w:before="0" w:after="0"/>
              <w:jc w:val="left"/>
            </w:pPr>
            <w:r>
              <w:rPr>
                <w:color w:val="1a202c"/>
                <w:sz w:val="22"/>
              </w:rPr>
              <w:t>2008</w:t>
            </w:r>
          </w:p>
        </w:tc>
      </w:tr>
      <w:tr>
        <w:trPr>
          <w:trHeight w:val="350" w:hRule="atLeast"/>
        </w:trPr>
        <w:tc>
          <w:tcPr>
            <w:tcW w:w="0" w:type="auto"/>
            <w:vAlign w:val="center"/>
          </w:tcPr>
          <w:p>
            <w:pPr>
              <w:spacing w:before="0" w:after="0"/>
              <w:jc w:val="left"/>
            </w:pPr>
            <w:r>
              <w:rPr>
                <w:color w:val="1a202c"/>
                <w:sz w:val="22"/>
              </w:rPr>
              <w:t>Allen Dulles</w:t>
            </w:r>
          </w:p>
        </w:tc>
        <w:tc>
          <w:tcPr>
            <w:tcW w:w="0" w:type="auto"/>
            <w:vAlign w:val="center"/>
          </w:tcPr>
          <w:p>
            <w:pPr>
              <w:spacing w:before="0" w:after="0"/>
              <w:jc w:val="left"/>
            </w:pPr>
            <w:r>
              <w:rPr>
                <w:color w:val="1a202c"/>
                <w:sz w:val="22"/>
              </w:rPr>
              <w:t>N/A</w:t>
            </w:r>
          </w:p>
        </w:tc>
        <w:tc>
          <w:tcPr>
            <w:tcW w:w="0" w:type="auto"/>
            <w:vAlign w:val="center"/>
          </w:tcPr>
          <w:p>
            <w:pPr>
              <w:spacing w:before="0" w:after="0"/>
              <w:jc w:val="left"/>
            </w:pPr>
            <w:r>
              <w:rPr>
                <w:color w:val="1a202c"/>
                <w:sz w:val="22"/>
              </w:rPr>
              <w:t>Nazi Money Laundering, JFK Cover-up</w:t>
            </w:r>
          </w:p>
        </w:tc>
        <w:tc>
          <w:tcPr>
            <w:tcW w:w="0" w:type="auto"/>
            <w:vAlign w:val="center"/>
          </w:tcPr>
          <w:p>
            <w:pPr>
              <w:spacing w:before="0" w:after="0"/>
              <w:jc w:val="left"/>
            </w:pPr>
            <w:r>
              <w:rPr>
                <w:color w:val="1a202c"/>
                <w:sz w:val="22"/>
              </w:rPr>
              <w:t>1969</w:t>
            </w:r>
          </w:p>
        </w:tc>
      </w:tr>
    </w:tbl>
    <w:p>
      <w:pPr>
        <w:pStyle w:val="Heading2"/>
      </w:pPr>
      <w:r>
        <w:t>CATEGORY D: CORPORATE ENTITIES - ONGOING CRIMINAL ENTERPRISE</w:t>
      </w:r>
    </w:p>
    <w:p>
      <w:pPr>
        <w:spacing w:after="200"/>
      </w:pPr>
      <w:r>
        <w:rPr>
          <w:b/>
          <w:color w:val="c53030"/>
        </w:rPr>
        <w:t>These corporate entities serve as vehicles for ongoing criminal operations.</w:t>
      </w:r>
    </w:p>
    <w:tbl>
      <w:tblPr>
        <w:tblW w:w="5000" w:type="pct"/>
        <w:tblBorders>
          <w:top w:val="single" w:color="1a365d" w:sz="8"/>
          <w:left w:val="nil"/>
          <w:bottom w:val="single" w:color="1a365d" w:sz="8"/>
          <w:right w:val="nil"/>
          <w:insideH w:val="single" w:color="d1d5db" w:sz="4"/>
          <w:insideV w:val="nil"/>
        </w:tblBorders>
        <w:tblCellMar>
          <w:top w:w="100" w:type="dxa"/>
          <w:left w:w="150" w:type="dxa"/>
          <w:bottom w:w="100" w:type="dxa"/>
          <w:right w:w="150" w:type="dxa"/>
        </w:tblCellMar>
      </w:tblPr>
      <w:tblGrid>
        <w:gridCol w:w="4000"/>
        <w:gridCol w:w="6000"/>
      </w:tblGrid>
      <w:tr>
        <w:trPr>
          <w:tblHeader/>
          <w:trHeight w:val="400" w:hRule="atLeast"/>
        </w:trPr>
        <w:tc>
          <w:tcPr>
            <w:tcW w:w="0" w:type="auto"/>
            <w:tcBorders>
              <w:bottom w:val="single" w:color="1a365d" w:sz="6"/>
            </w:tcBorders>
            <w:shd w:val="clear" w:fill="e2e8f0"/>
            <w:vAlign w:val="center"/>
          </w:tcPr>
          <w:p>
            <w:pPr>
              <w:spacing w:before="0" w:after="0"/>
              <w:jc w:val="center"/>
            </w:pPr>
            <w:r>
              <w:rPr>
                <w:b/>
                <w:color w:val="1a202c"/>
                <w:sz w:val="22"/>
              </w:rPr>
              <w:t>Entity</w:t>
            </w:r>
          </w:p>
        </w:tc>
        <w:tc>
          <w:tcPr>
            <w:tcW w:w="0" w:type="auto"/>
            <w:tcBorders>
              <w:bottom w:val="single" w:color="1a365d" w:sz="6"/>
            </w:tcBorders>
            <w:shd w:val="clear" w:fill="e2e8f0"/>
            <w:vAlign w:val="center"/>
          </w:tcPr>
          <w:p>
            <w:pPr>
              <w:spacing w:before="0" w:after="0"/>
              <w:jc w:val="center"/>
            </w:pPr>
            <w:r>
              <w:rPr>
                <w:b/>
                <w:color w:val="1a202c"/>
                <w:sz w:val="22"/>
              </w:rPr>
              <w:t>Criminal Activities</w:t>
            </w:r>
          </w:p>
        </w:tc>
      </w:tr>
      <w:tr>
        <w:trPr>
          <w:trHeight w:val="350" w:hRule="atLeast"/>
        </w:trPr>
        <w:tc>
          <w:tcPr>
            <w:tcW w:w="0" w:type="auto"/>
            <w:vAlign w:val="center"/>
          </w:tcPr>
          <w:p>
            <w:pPr>
              <w:spacing w:before="0" w:after="0"/>
              <w:jc w:val="left"/>
            </w:pPr>
            <w:r>
              <w:rPr>
                <w:color w:val="1a202c"/>
                <w:sz w:val="22"/>
              </w:rPr>
              <w:t>Russell Trust Association</w:t>
            </w:r>
          </w:p>
        </w:tc>
        <w:tc>
          <w:tcPr>
            <w:tcW w:w="0" w:type="auto"/>
            <w:vAlign w:val="center"/>
          </w:tcPr>
          <w:p>
            <w:pPr>
              <w:spacing w:before="0" w:after="0"/>
              <w:jc w:val="left"/>
            </w:pPr>
            <w:r>
              <w:rPr>
                <w:color w:val="1a202c"/>
                <w:sz w:val="22"/>
              </w:rPr>
              <w:t>RICO Enterprise, Money Laundering, Tax Evasion</w:t>
            </w:r>
          </w:p>
        </w:tc>
      </w:tr>
      <w:tr>
        <w:trPr>
          <w:trHeight w:val="350" w:hRule="atLeast"/>
        </w:trPr>
        <w:tc>
          <w:tcPr>
            <w:tcW w:w="0" w:type="auto"/>
            <w:vAlign w:val="center"/>
          </w:tcPr>
          <w:p>
            <w:pPr>
              <w:spacing w:before="0" w:after="0"/>
              <w:jc w:val="left"/>
            </w:pPr>
            <w:r>
              <w:rPr>
                <w:color w:val="1a202c"/>
                <w:sz w:val="22"/>
              </w:rPr>
              <w:t>Brown Brothers Harriman</w:t>
            </w:r>
          </w:p>
        </w:tc>
        <w:tc>
          <w:tcPr>
            <w:tcW w:w="0" w:type="auto"/>
            <w:vAlign w:val="center"/>
          </w:tcPr>
          <w:p>
            <w:pPr>
              <w:spacing w:before="0" w:after="0"/>
              <w:jc w:val="left"/>
            </w:pPr>
            <w:r>
              <w:rPr>
                <w:color w:val="1a202c"/>
                <w:sz w:val="22"/>
              </w:rPr>
              <w:t>Anti-Money Laundering Violations, Nazi Asset Management</w:t>
            </w:r>
          </w:p>
        </w:tc>
      </w:tr>
    </w:tbl>
    <w:p>
      <w:pPr>
        <w:pStyle w:val="Heading2"/>
      </w:pPr>
      <w:r>
        <w:t>STATISTICAL SUMMARY</w:t>
      </w:r>
    </w:p>
    <w:p>
      <w:r>
        <w:t>As of February 28, 2026, the complete criminal roster includes:</w:t>
      </w:r>
    </w:p>
    <w:tbl>
      <w:tblPr>
        <w:tblW w:w="5000" w:type="pct"/>
        <w:tblBorders>
          <w:top w:val="single" w:color="1a365d" w:sz="8"/>
          <w:left w:val="nil"/>
          <w:bottom w:val="single" w:color="1a365d" w:sz="8"/>
          <w:right w:val="nil"/>
          <w:insideH w:val="single" w:color="d1d5db" w:sz="4"/>
          <w:insideV w:val="nil"/>
        </w:tblBorders>
        <w:tblCellMar>
          <w:top w:w="100" w:type="dxa"/>
          <w:left w:w="150" w:type="dxa"/>
          <w:bottom w:w="100" w:type="dxa"/>
          <w:right w:w="150" w:type="dxa"/>
        </w:tblCellMar>
      </w:tblPr>
      <w:tblGrid>
        <w:gridCol w:w="5000"/>
        <w:gridCol w:w="5000"/>
      </w:tblGrid>
      <w:tr>
        <w:trPr>
          <w:tblHeader/>
          <w:trHeight w:val="400" w:hRule="atLeast"/>
        </w:trPr>
        <w:tc>
          <w:tcPr>
            <w:tcW w:w="0" w:type="auto"/>
            <w:tcBorders>
              <w:bottom w:val="single" w:color="1a365d" w:sz="6"/>
            </w:tcBorders>
            <w:shd w:val="clear" w:fill="e2e8f0"/>
            <w:vAlign w:val="center"/>
          </w:tcPr>
          <w:p>
            <w:pPr>
              <w:spacing w:before="0" w:after="0"/>
              <w:jc w:val="center"/>
            </w:pPr>
            <w:r>
              <w:rPr>
                <w:b/>
                <w:color w:val="1a202c"/>
                <w:sz w:val="22"/>
              </w:rPr>
              <w:t>Category</w:t>
            </w:r>
          </w:p>
        </w:tc>
        <w:tc>
          <w:tcPr>
            <w:tcW w:w="0" w:type="auto"/>
            <w:tcBorders>
              <w:bottom w:val="single" w:color="1a365d" w:sz="6"/>
            </w:tcBorders>
            <w:shd w:val="clear" w:fill="e2e8f0"/>
            <w:vAlign w:val="center"/>
          </w:tcPr>
          <w:p>
            <w:pPr>
              <w:spacing w:before="0" w:after="0"/>
              <w:jc w:val="center"/>
            </w:pPr>
            <w:r>
              <w:rPr>
                <w:b/>
                <w:color w:val="1a202c"/>
                <w:sz w:val="22"/>
              </w:rPr>
              <w:t>Count</w:t>
            </w:r>
          </w:p>
        </w:tc>
      </w:tr>
      <w:tr>
        <w:trPr>
          <w:trHeight w:val="350" w:hRule="atLeast"/>
        </w:trPr>
        <w:tc>
          <w:tcPr>
            <w:tcW w:w="0" w:type="auto"/>
            <w:vAlign w:val="center"/>
          </w:tcPr>
          <w:p>
            <w:pPr>
              <w:spacing w:before="0" w:after="0"/>
              <w:jc w:val="left"/>
            </w:pPr>
            <w:r>
              <w:rPr>
                <w:color w:val="1a202c"/>
                <w:sz w:val="22"/>
              </w:rPr>
              <w:t>Active Criminals (Priority Apprehension)</w:t>
            </w:r>
          </w:p>
        </w:tc>
        <w:tc>
          <w:tcPr>
            <w:tcW w:w="0" w:type="auto"/>
            <w:vAlign w:val="center"/>
          </w:tcPr>
          <w:p>
            <w:pPr>
              <w:spacing w:before="0" w:after="0"/>
              <w:jc w:val="left"/>
            </w:pPr>
            <w:r>
              <w:rPr>
                <w:color w:val="1a202c"/>
                <w:sz w:val="22"/>
              </w:rPr>
              <w:t>11</w:t>
            </w:r>
          </w:p>
        </w:tc>
      </w:tr>
      <w:tr>
        <w:trPr>
          <w:trHeight w:val="350" w:hRule="atLeast"/>
        </w:trPr>
        <w:tc>
          <w:tcPr>
            <w:tcW w:w="0" w:type="auto"/>
            <w:vAlign w:val="center"/>
          </w:tcPr>
          <w:p>
            <w:pPr>
              <w:spacing w:before="0" w:after="0"/>
              <w:jc w:val="left"/>
            </w:pPr>
            <w:r>
              <w:rPr>
                <w:color w:val="1a202c"/>
                <w:sz w:val="22"/>
              </w:rPr>
              <w:t>Living but Retired (Complicit)</w:t>
            </w:r>
          </w:p>
        </w:tc>
        <w:tc>
          <w:tcPr>
            <w:tcW w:w="0" w:type="auto"/>
            <w:vAlign w:val="center"/>
          </w:tcPr>
          <w:p>
            <w:pPr>
              <w:spacing w:before="0" w:after="0"/>
              <w:jc w:val="left"/>
            </w:pPr>
            <w:r>
              <w:rPr>
                <w:color w:val="1a202c"/>
                <w:sz w:val="22"/>
              </w:rPr>
              <w:t>4</w:t>
            </w:r>
          </w:p>
        </w:tc>
      </w:tr>
      <w:tr>
        <w:trPr>
          <w:trHeight w:val="350" w:hRule="atLeast"/>
        </w:trPr>
        <w:tc>
          <w:tcPr>
            <w:tcW w:w="0" w:type="auto"/>
            <w:vAlign w:val="center"/>
          </w:tcPr>
          <w:p>
            <w:pPr>
              <w:spacing w:before="0" w:after="0"/>
              <w:jc w:val="left"/>
            </w:pPr>
            <w:r>
              <w:rPr>
                <w:color w:val="1a202c"/>
                <w:sz w:val="22"/>
              </w:rPr>
              <w:t>Deceased (Posthumous Accountability)</w:t>
            </w:r>
          </w:p>
        </w:tc>
        <w:tc>
          <w:tcPr>
            <w:tcW w:w="0" w:type="auto"/>
            <w:vAlign w:val="center"/>
          </w:tcPr>
          <w:p>
            <w:pPr>
              <w:spacing w:before="0" w:after="0"/>
              <w:jc w:val="left"/>
            </w:pPr>
            <w:r>
              <w:rPr>
                <w:color w:val="1a202c"/>
                <w:sz w:val="22"/>
              </w:rPr>
              <w:t>12+</w:t>
            </w:r>
          </w:p>
        </w:tc>
      </w:tr>
      <w:tr>
        <w:trPr>
          <w:trHeight w:val="350" w:hRule="atLeast"/>
        </w:trPr>
        <w:tc>
          <w:tcPr>
            <w:tcW w:w="0" w:type="auto"/>
            <w:vAlign w:val="center"/>
          </w:tcPr>
          <w:p>
            <w:pPr>
              <w:spacing w:before="0" w:after="0"/>
              <w:jc w:val="left"/>
            </w:pPr>
            <w:r>
              <w:rPr>
                <w:color w:val="1a202c"/>
                <w:sz w:val="22"/>
              </w:rPr>
              <w:t>Corporate Entities</w:t>
            </w:r>
          </w:p>
        </w:tc>
        <w:tc>
          <w:tcPr>
            <w:tcW w:w="0" w:type="auto"/>
            <w:vAlign w:val="center"/>
          </w:tcPr>
          <w:p>
            <w:pPr>
              <w:spacing w:before="0" w:after="0"/>
              <w:jc w:val="left"/>
            </w:pPr>
            <w:r>
              <w:rPr>
                <w:color w:val="1a202c"/>
                <w:sz w:val="22"/>
              </w:rPr>
              <w:t>2</w:t>
            </w:r>
          </w:p>
        </w:tc>
      </w:tr>
      <w:tr>
        <w:trPr>
          <w:trHeight w:val="350" w:hRule="atLeast"/>
        </w:trPr>
        <w:tc>
          <w:tcPr>
            <w:tcW w:w="0" w:type="auto"/>
            <w:vAlign w:val="center"/>
          </w:tcPr>
          <w:p>
            <w:pPr>
              <w:spacing w:before="0" w:after="0"/>
              <w:jc w:val="left"/>
            </w:pPr>
            <w:r>
              <w:rPr>
                <w:color w:val="1a202c"/>
                <w:sz w:val="22"/>
              </w:rPr>
              <w:t>TOTAL IDENTIFIED CRIMINAL PERSONS</w:t>
            </w:r>
          </w:p>
        </w:tc>
        <w:tc>
          <w:tcPr>
            <w:tcW w:w="0" w:type="auto"/>
            <w:vAlign w:val="center"/>
          </w:tcPr>
          <w:p>
            <w:pPr>
              <w:spacing w:before="0" w:after="0"/>
              <w:jc w:val="left"/>
            </w:pPr>
            <w:r>
              <w:rPr>
                <w:color w:val="1a202c"/>
                <w:sz w:val="22"/>
              </w:rPr>
              <w:t>29+</w:t>
            </w:r>
          </w:p>
        </w:tc>
      </w:tr>
    </w:tbl>
    <w:p>
      <w:pPr>
        <w:pStyle w:val="Heading2"/>
      </w:pPr>
      <w:r>
        <w:t>TIMELINE OF CRIMINAL ACTIVITY</w:t>
      </w:r>
    </w:p>
    <w:p>
      <w:r>
        <w:t>Key milestones in the criminal history of Order 322:</w:t>
      </w:r>
    </w:p>
    <w:tbl>
      <w:tblPr>
        <w:tblW w:w="5000" w:type="pct"/>
        <w:tblBorders>
          <w:top w:val="single" w:color="1a365d" w:sz="8"/>
          <w:left w:val="nil"/>
          <w:bottom w:val="single" w:color="1a365d" w:sz="8"/>
          <w:right w:val="nil"/>
          <w:insideH w:val="single" w:color="d1d5db" w:sz="4"/>
          <w:insideV w:val="nil"/>
        </w:tblBorders>
        <w:tblCellMar>
          <w:top w:w="100" w:type="dxa"/>
          <w:left w:w="150" w:type="dxa"/>
          <w:bottom w:w="100" w:type="dxa"/>
          <w:right w:w="150" w:type="dxa"/>
        </w:tblCellMar>
      </w:tblPr>
      <w:tblGrid>
        <w:gridCol w:w="2000"/>
        <w:gridCol w:w="8000"/>
      </w:tblGrid>
      <w:tr>
        <w:trPr>
          <w:tblHeader/>
          <w:trHeight w:val="400" w:hRule="atLeast"/>
        </w:trPr>
        <w:tc>
          <w:tcPr>
            <w:tcW w:w="0" w:type="auto"/>
            <w:tcBorders>
              <w:bottom w:val="single" w:color="1a365d" w:sz="6"/>
            </w:tcBorders>
            <w:shd w:val="clear" w:fill="e2e8f0"/>
            <w:vAlign w:val="center"/>
          </w:tcPr>
          <w:p>
            <w:pPr>
              <w:spacing w:before="0" w:after="0"/>
              <w:jc w:val="center"/>
            </w:pPr>
            <w:r>
              <w:rPr>
                <w:b/>
                <w:color w:val="1a202c"/>
                <w:sz w:val="22"/>
              </w:rPr>
              <w:t>Year</w:t>
            </w:r>
          </w:p>
        </w:tc>
        <w:tc>
          <w:tcPr>
            <w:tcW w:w="0" w:type="auto"/>
            <w:tcBorders>
              <w:bottom w:val="single" w:color="1a365d" w:sz="6"/>
            </w:tcBorders>
            <w:shd w:val="clear" w:fill="e2e8f0"/>
            <w:vAlign w:val="center"/>
          </w:tcPr>
          <w:p>
            <w:pPr>
              <w:spacing w:before="0" w:after="0"/>
              <w:jc w:val="center"/>
            </w:pPr>
            <w:r>
              <w:rPr>
                <w:b/>
                <w:color w:val="1a202c"/>
                <w:sz w:val="22"/>
              </w:rPr>
              <w:t>Event</w:t>
            </w:r>
          </w:p>
        </w:tc>
      </w:tr>
      <w:tr>
        <w:trPr>
          <w:trHeight w:val="350" w:hRule="atLeast"/>
        </w:trPr>
        <w:tc>
          <w:tcPr>
            <w:tcW w:w="0" w:type="auto"/>
            <w:vAlign w:val="center"/>
          </w:tcPr>
          <w:p>
            <w:pPr>
              <w:spacing w:before="0" w:after="0"/>
              <w:jc w:val="left"/>
            </w:pPr>
            <w:r>
              <w:rPr>
                <w:color w:val="1a202c"/>
                <w:sz w:val="22"/>
              </w:rPr>
              <w:t>1832</w:t>
            </w:r>
          </w:p>
        </w:tc>
        <w:tc>
          <w:tcPr>
            <w:tcW w:w="0" w:type="auto"/>
            <w:vAlign w:val="center"/>
          </w:tcPr>
          <w:p>
            <w:pPr>
              <w:spacing w:before="0" w:after="0"/>
              <w:jc w:val="left"/>
            </w:pPr>
            <w:r>
              <w:rPr>
                <w:color w:val="1a202c"/>
                <w:sz w:val="22"/>
              </w:rPr>
              <w:t>William Huntington Russell founds Skull and Bones at Yale</w:t>
            </w:r>
          </w:p>
        </w:tc>
      </w:tr>
      <w:tr>
        <w:trPr>
          <w:trHeight w:val="350" w:hRule="atLeast"/>
        </w:trPr>
        <w:tc>
          <w:tcPr>
            <w:tcW w:w="0" w:type="auto"/>
            <w:vAlign w:val="center"/>
          </w:tcPr>
          <w:p>
            <w:pPr>
              <w:spacing w:before="0" w:after="0"/>
              <w:jc w:val="left"/>
            </w:pPr>
            <w:r>
              <w:rPr>
                <w:color w:val="1a202c"/>
                <w:sz w:val="22"/>
              </w:rPr>
              <w:t>1856</w:t>
            </w:r>
          </w:p>
        </w:tc>
        <w:tc>
          <w:tcPr>
            <w:tcW w:w="0" w:type="auto"/>
            <w:vAlign w:val="center"/>
          </w:tcPr>
          <w:p>
            <w:pPr>
              <w:spacing w:before="0" w:after="0"/>
              <w:jc w:val="left"/>
            </w:pPr>
            <w:r>
              <w:rPr>
                <w:color w:val="1a202c"/>
                <w:sz w:val="22"/>
              </w:rPr>
              <w:t>Russell Trust Association incorporated</w:t>
            </w:r>
          </w:p>
        </w:tc>
      </w:tr>
      <w:tr>
        <w:trPr>
          <w:trHeight w:val="350" w:hRule="atLeast"/>
        </w:trPr>
        <w:tc>
          <w:tcPr>
            <w:tcW w:w="0" w:type="auto"/>
            <w:vAlign w:val="center"/>
          </w:tcPr>
          <w:p>
            <w:pPr>
              <w:spacing w:before="0" w:after="0"/>
              <w:jc w:val="left"/>
            </w:pPr>
            <w:r>
              <w:rPr>
                <w:color w:val="1a202c"/>
                <w:sz w:val="22"/>
              </w:rPr>
              <w:t>1917</w:t>
            </w:r>
          </w:p>
        </w:tc>
        <w:tc>
          <w:tcPr>
            <w:tcW w:w="0" w:type="auto"/>
            <w:vAlign w:val="center"/>
          </w:tcPr>
          <w:p>
            <w:pPr>
              <w:spacing w:before="0" w:after="0"/>
              <w:jc w:val="left"/>
            </w:pPr>
            <w:r>
              <w:rPr>
                <w:color w:val="1a202c"/>
                <w:sz w:val="22"/>
              </w:rPr>
              <w:t>Prescott Bush joins Bones; later finances Nazi Germany</w:t>
            </w:r>
          </w:p>
        </w:tc>
      </w:tr>
      <w:tr>
        <w:trPr>
          <w:trHeight w:val="350" w:hRule="atLeast"/>
        </w:trPr>
        <w:tc>
          <w:tcPr>
            <w:tcW w:w="0" w:type="auto"/>
            <w:vAlign w:val="center"/>
          </w:tcPr>
          <w:p>
            <w:pPr>
              <w:spacing w:before="0" w:after="0"/>
              <w:jc w:val="left"/>
            </w:pPr>
            <w:r>
              <w:rPr>
                <w:color w:val="1a202c"/>
                <w:sz w:val="22"/>
              </w:rPr>
              <w:t>1942</w:t>
            </w:r>
          </w:p>
        </w:tc>
        <w:tc>
          <w:tcPr>
            <w:tcW w:w="0" w:type="auto"/>
            <w:vAlign w:val="center"/>
          </w:tcPr>
          <w:p>
            <w:pPr>
              <w:spacing w:before="0" w:after="0"/>
              <w:jc w:val="left"/>
            </w:pPr>
            <w:r>
              <w:rPr>
                <w:color w:val="1a202c"/>
                <w:sz w:val="22"/>
              </w:rPr>
              <w:t>Union Banking Corporation seized under Trading with Enemy Act</w:t>
            </w:r>
          </w:p>
        </w:tc>
      </w:tr>
      <w:tr>
        <w:trPr>
          <w:trHeight w:val="350" w:hRule="atLeast"/>
        </w:trPr>
        <w:tc>
          <w:tcPr>
            <w:tcW w:w="0" w:type="auto"/>
            <w:vAlign w:val="center"/>
          </w:tcPr>
          <w:p>
            <w:pPr>
              <w:spacing w:before="0" w:after="0"/>
              <w:jc w:val="left"/>
            </w:pPr>
            <w:r>
              <w:rPr>
                <w:color w:val="1a202c"/>
                <w:sz w:val="22"/>
              </w:rPr>
              <w:t>1948</w:t>
            </w:r>
          </w:p>
        </w:tc>
        <w:tc>
          <w:tcPr>
            <w:tcW w:w="0" w:type="auto"/>
            <w:vAlign w:val="center"/>
          </w:tcPr>
          <w:p>
            <w:pPr>
              <w:spacing w:before="0" w:after="0"/>
              <w:jc w:val="left"/>
            </w:pPr>
            <w:r>
              <w:rPr>
                <w:color w:val="1a202c"/>
                <w:sz w:val="22"/>
              </w:rPr>
              <w:t>George H.W. Bush joins Bones; later becomes CIA Director</w:t>
            </w:r>
          </w:p>
        </w:tc>
      </w:tr>
      <w:tr>
        <w:trPr>
          <w:trHeight w:val="350" w:hRule="atLeast"/>
        </w:trPr>
        <w:tc>
          <w:tcPr>
            <w:tcW w:w="0" w:type="auto"/>
            <w:vAlign w:val="center"/>
          </w:tcPr>
          <w:p>
            <w:pPr>
              <w:spacing w:before="0" w:after="0"/>
              <w:jc w:val="left"/>
            </w:pPr>
            <w:r>
              <w:rPr>
                <w:color w:val="1a202c"/>
                <w:sz w:val="22"/>
              </w:rPr>
              <w:t>1968</w:t>
            </w:r>
          </w:p>
        </w:tc>
        <w:tc>
          <w:tcPr>
            <w:tcW w:w="0" w:type="auto"/>
            <w:vAlign w:val="center"/>
          </w:tcPr>
          <w:p>
            <w:pPr>
              <w:spacing w:before="0" w:after="0"/>
              <w:jc w:val="left"/>
            </w:pPr>
            <w:r>
              <w:rPr>
                <w:color w:val="1a202c"/>
                <w:sz w:val="22"/>
              </w:rPr>
              <w:t>George W. Bush joins Bones; later becomes President</w:t>
            </w:r>
          </w:p>
        </w:tc>
      </w:tr>
      <w:tr>
        <w:trPr>
          <w:trHeight w:val="350" w:hRule="atLeast"/>
        </w:trPr>
        <w:tc>
          <w:tcPr>
            <w:tcW w:w="0" w:type="auto"/>
            <w:vAlign w:val="center"/>
          </w:tcPr>
          <w:p>
            <w:pPr>
              <w:spacing w:before="0" w:after="0"/>
              <w:jc w:val="left"/>
            </w:pPr>
            <w:r>
              <w:rPr>
                <w:color w:val="1a202c"/>
                <w:sz w:val="22"/>
              </w:rPr>
              <w:t>2003</w:t>
            </w:r>
          </w:p>
        </w:tc>
        <w:tc>
          <w:tcPr>
            <w:tcW w:w="0" w:type="auto"/>
            <w:vAlign w:val="center"/>
          </w:tcPr>
          <w:p>
            <w:pPr>
              <w:spacing w:before="0" w:after="0"/>
              <w:jc w:val="left"/>
            </w:pPr>
            <w:r>
              <w:rPr>
                <w:color w:val="1a202c"/>
                <w:sz w:val="22"/>
              </w:rPr>
              <w:t>Illegal invasion of Iraq based on false intelligence</w:t>
            </w:r>
          </w:p>
        </w:tc>
      </w:tr>
      <w:tr>
        <w:trPr>
          <w:trHeight w:val="350" w:hRule="atLeast"/>
        </w:trPr>
        <w:tc>
          <w:tcPr>
            <w:tcW w:w="0" w:type="auto"/>
            <w:vAlign w:val="center"/>
          </w:tcPr>
          <w:p>
            <w:pPr>
              <w:spacing w:before="0" w:after="0"/>
              <w:jc w:val="left"/>
            </w:pPr>
            <w:r>
              <w:rPr>
                <w:color w:val="1a202c"/>
                <w:sz w:val="22"/>
              </w:rPr>
              <w:t>2017-2025</w:t>
            </w:r>
          </w:p>
        </w:tc>
        <w:tc>
          <w:tcPr>
            <w:tcW w:w="0" w:type="auto"/>
            <w:vAlign w:val="center"/>
          </w:tcPr>
          <w:p>
            <w:pPr>
              <w:spacing w:before="0" w:after="0"/>
              <w:jc w:val="left"/>
            </w:pPr>
            <w:r>
              <w:rPr>
                <w:color w:val="1a202c"/>
                <w:sz w:val="22"/>
              </w:rPr>
              <w:t>$115+ trillion in undocumented DOD expenditures</w:t>
            </w:r>
          </w:p>
        </w:tc>
      </w:tr>
      <w:tr>
        <w:trPr>
          <w:trHeight w:val="350" w:hRule="atLeast"/>
        </w:trPr>
        <w:tc>
          <w:tcPr>
            <w:tcW w:w="0" w:type="auto"/>
            <w:vAlign w:val="center"/>
          </w:tcPr>
          <w:p>
            <w:pPr>
              <w:spacing w:before="0" w:after="0"/>
              <w:jc w:val="left"/>
            </w:pPr>
            <w:r>
              <w:rPr>
                <w:color w:val="1a202c"/>
                <w:sz w:val="22"/>
              </w:rPr>
              <w:t>2022</w:t>
            </w:r>
          </w:p>
        </w:tc>
        <w:tc>
          <w:tcPr>
            <w:tcW w:w="0" w:type="auto"/>
            <w:vAlign w:val="center"/>
          </w:tcPr>
          <w:p>
            <w:pPr>
              <w:spacing w:before="0" w:after="0"/>
              <w:jc w:val="left"/>
            </w:pPr>
            <w:r>
              <w:rPr>
                <w:color w:val="1a202c"/>
                <w:sz w:val="22"/>
              </w:rPr>
              <w:t>Austan Goolsbee becomes Chicago Fed President</w:t>
            </w:r>
          </w:p>
        </w:tc>
      </w:tr>
      <w:tr>
        <w:trPr>
          <w:trHeight w:val="350" w:hRule="atLeast"/>
        </w:trPr>
        <w:tc>
          <w:tcPr>
            <w:tcW w:w="0" w:type="auto"/>
            <w:vAlign w:val="center"/>
          </w:tcPr>
          <w:p>
            <w:pPr>
              <w:spacing w:before="0" w:after="0"/>
              <w:jc w:val="left"/>
            </w:pPr>
            <w:r>
              <w:rPr>
                <w:color w:val="1a202c"/>
                <w:sz w:val="22"/>
              </w:rPr>
              <w:t>2026</w:t>
            </w:r>
          </w:p>
        </w:tc>
        <w:tc>
          <w:tcPr>
            <w:tcW w:w="0" w:type="auto"/>
            <w:vAlign w:val="center"/>
          </w:tcPr>
          <w:p>
            <w:pPr>
              <w:spacing w:before="0" w:after="0"/>
              <w:jc w:val="left"/>
            </w:pPr>
            <w:r>
              <w:rPr>
                <w:color w:val="1a202c"/>
                <w:sz w:val="22"/>
              </w:rPr>
              <w:t>This warrant issued - February 28, 2026</w:t>
            </w:r>
          </w:p>
        </w:tc>
      </w:tr>
    </w:tbl>
    <w:p>
      <w:pPr>
        <w:pStyle w:val="Heading2"/>
      </w:pPr>
      <w:r>
        <w:t>FINANCIAL IMPACT SUMMARY</w:t>
      </w:r>
    </w:p>
    <w:p>
      <w:r>
        <w:t>Documented financial crimes and their estimated impact:</w:t>
      </w:r>
    </w:p>
    <w:tbl>
      <w:tblPr>
        <w:tblW w:w="5000" w:type="pct"/>
        <w:tblBorders>
          <w:top w:val="single" w:color="1a365d" w:sz="8"/>
          <w:left w:val="nil"/>
          <w:bottom w:val="single" w:color="1a365d" w:sz="8"/>
          <w:right w:val="nil"/>
          <w:insideH w:val="single" w:color="d1d5db" w:sz="4"/>
          <w:insideV w:val="nil"/>
        </w:tblBorders>
        <w:tblCellMar>
          <w:top w:w="100" w:type="dxa"/>
          <w:left w:w="150" w:type="dxa"/>
          <w:bottom w:w="100" w:type="dxa"/>
          <w:right w:w="150" w:type="dxa"/>
        </w:tblCellMar>
      </w:tblPr>
      <w:tblGrid>
        <w:gridCol w:w="5000"/>
        <w:gridCol w:w="5000"/>
      </w:tblGrid>
      <w:tr>
        <w:trPr>
          <w:tblHeader/>
          <w:trHeight w:val="400" w:hRule="atLeast"/>
        </w:trPr>
        <w:tc>
          <w:tcPr>
            <w:tcW w:w="0" w:type="auto"/>
            <w:tcBorders>
              <w:bottom w:val="single" w:color="1a365d" w:sz="6"/>
            </w:tcBorders>
            <w:shd w:val="clear" w:fill="e2e8f0"/>
            <w:vAlign w:val="center"/>
          </w:tcPr>
          <w:p>
            <w:pPr>
              <w:spacing w:before="0" w:after="0"/>
              <w:jc w:val="center"/>
            </w:pPr>
            <w:r>
              <w:rPr>
                <w:b/>
                <w:color w:val="1a202c"/>
                <w:sz w:val="22"/>
              </w:rPr>
              <w:t>Financial Crime</w:t>
            </w:r>
          </w:p>
        </w:tc>
        <w:tc>
          <w:tcPr>
            <w:tcW w:w="0" w:type="auto"/>
            <w:tcBorders>
              <w:bottom w:val="single" w:color="1a365d" w:sz="6"/>
            </w:tcBorders>
            <w:shd w:val="clear" w:fill="e2e8f0"/>
            <w:vAlign w:val="center"/>
          </w:tcPr>
          <w:p>
            <w:pPr>
              <w:spacing w:before="0" w:after="0"/>
              <w:jc w:val="center"/>
            </w:pPr>
            <w:r>
              <w:rPr>
                <w:b/>
                <w:color w:val="1a202c"/>
                <w:sz w:val="22"/>
              </w:rPr>
              <w:t>Estimated Impact</w:t>
            </w:r>
          </w:p>
        </w:tc>
      </w:tr>
      <w:tr>
        <w:trPr>
          <w:trHeight w:val="350" w:hRule="atLeast"/>
        </w:trPr>
        <w:tc>
          <w:tcPr>
            <w:tcW w:w="0" w:type="auto"/>
            <w:vAlign w:val="center"/>
          </w:tcPr>
          <w:p>
            <w:pPr>
              <w:spacing w:before="0" w:after="0"/>
              <w:jc w:val="left"/>
            </w:pPr>
            <w:r>
              <w:rPr>
                <w:color w:val="1a202c"/>
                <w:sz w:val="22"/>
              </w:rPr>
              <w:t>Undocumented DOD Expenditures (2017-2025)</w:t>
            </w:r>
          </w:p>
        </w:tc>
        <w:tc>
          <w:tcPr>
            <w:tcW w:w="0" w:type="auto"/>
            <w:vAlign w:val="center"/>
          </w:tcPr>
          <w:p>
            <w:pPr>
              <w:spacing w:before="0" w:after="0"/>
              <w:jc w:val="left"/>
            </w:pPr>
            <w:r>
              <w:rPr>
                <w:color w:val="1a202c"/>
                <w:sz w:val="22"/>
              </w:rPr>
              <w:t>$115+ trillion</w:t>
            </w:r>
          </w:p>
        </w:tc>
      </w:tr>
      <w:tr>
        <w:trPr>
          <w:trHeight w:val="350" w:hRule="atLeast"/>
        </w:trPr>
        <w:tc>
          <w:tcPr>
            <w:tcW w:w="0" w:type="auto"/>
            <w:vAlign w:val="center"/>
          </w:tcPr>
          <w:p>
            <w:pPr>
              <w:spacing w:before="0" w:after="0"/>
              <w:jc w:val="left"/>
            </w:pPr>
            <w:r>
              <w:rPr>
                <w:color w:val="1a202c"/>
                <w:sz w:val="22"/>
              </w:rPr>
              <w:t>Pentagon Accounting Discrepancies (1998-2015)</w:t>
            </w:r>
          </w:p>
        </w:tc>
        <w:tc>
          <w:tcPr>
            <w:tcW w:w="0" w:type="auto"/>
            <w:vAlign w:val="center"/>
          </w:tcPr>
          <w:p>
            <w:pPr>
              <w:spacing w:before="0" w:after="0"/>
              <w:jc w:val="left"/>
            </w:pPr>
            <w:r>
              <w:rPr>
                <w:color w:val="1a202c"/>
                <w:sz w:val="22"/>
              </w:rPr>
              <w:t>$21 trillion</w:t>
            </w:r>
          </w:p>
        </w:tc>
      </w:tr>
      <w:tr>
        <w:trPr>
          <w:trHeight w:val="350" w:hRule="atLeast"/>
        </w:trPr>
        <w:tc>
          <w:tcPr>
            <w:tcW w:w="0" w:type="auto"/>
            <w:vAlign w:val="center"/>
          </w:tcPr>
          <w:p>
            <w:pPr>
              <w:spacing w:before="0" w:after="0"/>
              <w:jc w:val="left"/>
            </w:pPr>
            <w:r>
              <w:rPr>
                <w:color w:val="1a202c"/>
                <w:sz w:val="22"/>
              </w:rPr>
              <w:t>Total Pentagon Undocumentable Transactions (by 2021)</w:t>
            </w:r>
          </w:p>
        </w:tc>
        <w:tc>
          <w:tcPr>
            <w:tcW w:w="0" w:type="auto"/>
            <w:vAlign w:val="center"/>
          </w:tcPr>
          <w:p>
            <w:pPr>
              <w:spacing w:before="0" w:after="0"/>
              <w:jc w:val="left"/>
            </w:pPr>
            <w:r>
              <w:rPr>
                <w:color w:val="1a202c"/>
                <w:sz w:val="22"/>
              </w:rPr>
              <w:t>$94.7 trillion</w:t>
            </w:r>
          </w:p>
        </w:tc>
      </w:tr>
      <w:tr>
        <w:trPr>
          <w:trHeight w:val="350" w:hRule="atLeast"/>
        </w:trPr>
        <w:tc>
          <w:tcPr>
            <w:tcW w:w="0" w:type="auto"/>
            <w:vAlign w:val="center"/>
          </w:tcPr>
          <w:p>
            <w:pPr>
              <w:spacing w:before="0" w:after="0"/>
              <w:jc w:val="left"/>
            </w:pPr>
            <w:r>
              <w:rPr>
                <w:color w:val="1a202c"/>
                <w:sz w:val="22"/>
              </w:rPr>
              <w:t>Single-Year Adjustments (FY2019)</w:t>
            </w:r>
          </w:p>
        </w:tc>
        <w:tc>
          <w:tcPr>
            <w:tcW w:w="0" w:type="auto"/>
            <w:vAlign w:val="center"/>
          </w:tcPr>
          <w:p>
            <w:pPr>
              <w:spacing w:before="0" w:after="0"/>
              <w:jc w:val="left"/>
            </w:pPr>
            <w:r>
              <w:rPr>
                <w:color w:val="1a202c"/>
                <w:sz w:val="22"/>
              </w:rPr>
              <w:t>$35 trillion</w:t>
            </w:r>
          </w:p>
        </w:tc>
      </w:tr>
      <w:tr>
        <w:trPr>
          <w:trHeight w:val="350" w:hRule="atLeast"/>
        </w:trPr>
        <w:tc>
          <w:tcPr>
            <w:tcW w:w="0" w:type="auto"/>
            <w:vAlign w:val="center"/>
          </w:tcPr>
          <w:p>
            <w:pPr>
              <w:spacing w:before="0" w:after="0"/>
              <w:jc w:val="left"/>
            </w:pPr>
            <w:r>
              <w:rPr>
                <w:color w:val="1a202c"/>
                <w:sz w:val="22"/>
              </w:rPr>
              <w:t>Stephen Schwarzman Net Worth</w:t>
            </w:r>
          </w:p>
        </w:tc>
        <w:tc>
          <w:tcPr>
            <w:tcW w:w="0" w:type="auto"/>
            <w:vAlign w:val="center"/>
          </w:tcPr>
          <w:p>
            <w:pPr>
              <w:spacing w:before="0" w:after="0"/>
              <w:jc w:val="left"/>
            </w:pPr>
            <w:r>
              <w:rPr>
                <w:color w:val="1a202c"/>
                <w:sz w:val="22"/>
              </w:rPr>
              <w:t>$43.2 billion</w:t>
            </w:r>
          </w:p>
        </w:tc>
      </w:tr>
      <w:tr>
        <w:trPr>
          <w:trHeight w:val="350" w:hRule="atLeast"/>
        </w:trPr>
        <w:tc>
          <w:tcPr>
            <w:tcW w:w="0" w:type="auto"/>
            <w:vAlign w:val="center"/>
          </w:tcPr>
          <w:p>
            <w:pPr>
              <w:spacing w:before="0" w:after="0"/>
              <w:jc w:val="left"/>
            </w:pPr>
            <w:r>
              <w:rPr>
                <w:color w:val="1a202c"/>
                <w:sz w:val="22"/>
              </w:rPr>
              <w:t>Blackstone Pension Fund Fraud Impact</w:t>
            </w:r>
          </w:p>
        </w:tc>
        <w:tc>
          <w:tcPr>
            <w:tcW w:w="0" w:type="auto"/>
            <w:vAlign w:val="center"/>
          </w:tcPr>
          <w:p>
            <w:pPr>
              <w:spacing w:before="0" w:after="0"/>
              <w:jc w:val="left"/>
            </w:pPr>
            <w:r>
              <w:rPr>
                <w:color w:val="1a202c"/>
                <w:sz w:val="22"/>
              </w:rPr>
              <w:t>90,000+ affected workers</w:t>
            </w:r>
          </w:p>
        </w:tc>
      </w:tr>
      <w:tr>
        <w:trPr>
          <w:trHeight w:val="350" w:hRule="atLeast"/>
        </w:trPr>
        <w:tc>
          <w:tcPr>
            <w:tcW w:w="0" w:type="auto"/>
            <w:vAlign w:val="center"/>
          </w:tcPr>
          <w:p>
            <w:pPr>
              <w:spacing w:before="0" w:after="0"/>
              <w:jc w:val="left"/>
            </w:pPr>
            <w:r>
              <w:rPr>
                <w:color w:val="1a202c"/>
                <w:sz w:val="22"/>
              </w:rPr>
              <w:t>Sears Pension Theft</w:t>
            </w:r>
          </w:p>
        </w:tc>
        <w:tc>
          <w:tcPr>
            <w:tcW w:w="0" w:type="auto"/>
            <w:vAlign w:val="center"/>
          </w:tcPr>
          <w:p>
            <w:pPr>
              <w:spacing w:before="0" w:after="0"/>
              <w:jc w:val="left"/>
            </w:pPr>
            <w:r>
              <w:rPr>
                <w:color w:val="1a202c"/>
                <w:sz w:val="22"/>
              </w:rPr>
              <w:t>$43 million</w:t>
            </w:r>
          </w:p>
        </w:tc>
      </w:tr>
      <w:tr>
        <w:trPr>
          <w:trHeight w:val="350" w:hRule="atLeast"/>
        </w:trPr>
        <w:tc>
          <w:tcPr>
            <w:tcW w:w="0" w:type="auto"/>
            <w:vAlign w:val="center"/>
          </w:tcPr>
          <w:p>
            <w:pPr>
              <w:spacing w:before="0" w:after="0"/>
              <w:jc w:val="left"/>
            </w:pPr>
            <w:r>
              <w:rPr>
                <w:color w:val="1a202c"/>
                <w:sz w:val="22"/>
              </w:rPr>
              <w:t>Edward Lampert Lawsuit</w:t>
            </w:r>
          </w:p>
        </w:tc>
        <w:tc>
          <w:tcPr>
            <w:tcW w:w="0" w:type="auto"/>
            <w:vAlign w:val="center"/>
          </w:tcPr>
          <w:p>
            <w:pPr>
              <w:spacing w:before="0" w:after="0"/>
              <w:jc w:val="left"/>
            </w:pPr>
            <w:r>
              <w:rPr>
                <w:color w:val="1a202c"/>
                <w:sz w:val="22"/>
              </w:rPr>
              <w:t>$177 million</w:t>
            </w:r>
          </w:p>
        </w:tc>
      </w:tr>
      <w:tr>
        <w:trPr>
          <w:trHeight w:val="350" w:hRule="atLeast"/>
        </w:trPr>
        <w:tc>
          <w:tcPr>
            <w:tcW w:w="0" w:type="auto"/>
            <w:vAlign w:val="center"/>
          </w:tcPr>
          <w:p>
            <w:pPr>
              <w:spacing w:before="0" w:after="0"/>
              <w:jc w:val="left"/>
            </w:pPr>
            <w:r>
              <w:rPr>
                <w:color w:val="1a202c"/>
                <w:sz w:val="22"/>
              </w:rPr>
              <w:t>Brown Brothers Harriman Penalties</w:t>
            </w:r>
          </w:p>
        </w:tc>
        <w:tc>
          <w:tcPr>
            <w:tcW w:w="0" w:type="auto"/>
            <w:vAlign w:val="center"/>
          </w:tcPr>
          <w:p>
            <w:pPr>
              <w:spacing w:before="0" w:after="0"/>
              <w:jc w:val="left"/>
            </w:pPr>
            <w:r>
              <w:rPr>
                <w:color w:val="1a202c"/>
                <w:sz w:val="22"/>
              </w:rPr>
              <w:t>$8.12 million</w:t>
            </w:r>
          </w:p>
        </w:tc>
      </w:tr>
    </w:tbl>
    <w:p>
      <w:pPr>
        <w:pStyle w:val="Heading2"/>
      </w:pPr>
      <w:r>
        <w:t>LEGAL STATUS OF ALL LISTED PERSONS</w:t>
      </w:r>
    </w:p>
    <w:p>
      <w:r>
        <w:t>All persons listed in this document are subject to prosecution under the following legal frameworks:</w:t>
      </w:r>
    </w:p>
    <w:p>
      <w:pPr>
        <w:pStyle w:val="Heading3"/>
      </w:pPr>
      <w:r>
        <w:t>United States Federal Law</w:t>
      </w:r>
    </w:p>
    <w:p>
      <w:pPr>
        <w:spacing w:after="120"/>
        <w:ind w:left="720" w:hanging="360"/>
      </w:pPr>
      <w:r>
        <w:t>•  18 U.S.C. Section 1961 et seq. (RICO) - Racketeer Influenced and Corrupt Organizations Act</w:t>
      </w:r>
    </w:p>
    <w:p>
      <w:pPr>
        <w:spacing w:after="120"/>
        <w:ind w:left="720" w:hanging="360"/>
      </w:pPr>
      <w:r>
        <w:t>•  18 U.S.C. Section 2381 - Treason</w:t>
      </w:r>
    </w:p>
    <w:p>
      <w:pPr>
        <w:spacing w:after="120"/>
        <w:ind w:left="720" w:hanging="360"/>
      </w:pPr>
      <w:r>
        <w:t>•  18 U.S.C. Section 2441 - War Crimes</w:t>
      </w:r>
    </w:p>
    <w:p>
      <w:pPr>
        <w:spacing w:after="120"/>
        <w:ind w:left="720" w:hanging="360"/>
      </w:pPr>
      <w:r>
        <w:t>•  18 U.S.C. Section 371 - Conspiracy to Defraud the United States</w:t>
      </w:r>
    </w:p>
    <w:p>
      <w:pPr>
        <w:spacing w:after="120"/>
        <w:ind w:left="720" w:hanging="360"/>
      </w:pPr>
      <w:r>
        <w:t>•  18 U.S.C. Section 1956 - Money Laundering</w:t>
      </w:r>
    </w:p>
    <w:p>
      <w:pPr>
        <w:spacing w:after="120"/>
        <w:ind w:left="720" w:hanging="360"/>
      </w:pPr>
      <w:r>
        <w:t>•  26 U.S.C. Section 7201 - Tax Evasion</w:t>
      </w:r>
    </w:p>
    <w:p>
      <w:pPr>
        <w:spacing w:after="120"/>
        <w:ind w:left="720" w:hanging="360"/>
      </w:pPr>
      <w:r>
        <w:t>•  50 U.S.C. App. Section 1 et seq. - Trading with the Enemy Act</w:t>
      </w:r>
    </w:p>
    <w:p>
      <w:pPr>
        <w:pStyle w:val="Heading3"/>
      </w:pPr>
      <w:r>
        <w:t>International Law</w:t>
      </w:r>
    </w:p>
    <w:p>
      <w:pPr>
        <w:spacing w:after="120"/>
        <w:ind w:left="720" w:hanging="360"/>
      </w:pPr>
      <w:r>
        <w:t>•  Rome Statute of the International Criminal Court - Crimes Against Humanity</w:t>
      </w:r>
    </w:p>
    <w:p>
      <w:pPr>
        <w:spacing w:after="120"/>
        <w:ind w:left="720" w:hanging="360"/>
      </w:pPr>
      <w:r>
        <w:t>•  Geneva Conventions (1949) - Grave Breaches</w:t>
      </w:r>
    </w:p>
    <w:p>
      <w:pPr>
        <w:spacing w:after="120"/>
        <w:ind w:left="720" w:hanging="360"/>
      </w:pPr>
      <w:r>
        <w:t>•  Nuremberg Principles - Crimes Against Peace</w:t>
      </w:r>
    </w:p>
    <w:p>
      <w:pPr>
        <w:spacing w:after="120"/>
        <w:ind w:left="720" w:hanging="360"/>
      </w:pPr>
      <w:r>
        <w:t>•  Universal Jurisdiction - War Crimes and Torture</w:t>
      </w:r>
    </w:p>
    <w:p>
      <w:pPr>
        <w:pStyle w:val="Heading3"/>
      </w:pPr>
      <w:r>
        <w:t>Statute of Limitations</w:t>
      </w:r>
    </w:p>
    <w:p>
      <w:r>
        <w:t>The following crimes have NO statute of limitations and remain prosecutable indefinitely:</w:t>
      </w:r>
    </w:p>
    <w:p>
      <w:pPr>
        <w:spacing w:after="120"/>
        <w:ind w:left="720" w:hanging="360"/>
      </w:pPr>
      <w:r>
        <w:t>•  Treason (18 U.S.C. Section 2381)</w:t>
      </w:r>
    </w:p>
    <w:p>
      <w:pPr>
        <w:spacing w:after="120"/>
        <w:ind w:left="720" w:hanging="360"/>
      </w:pPr>
      <w:r>
        <w:t>•  War Crimes (18 U.S.C. Section 2441)</w:t>
      </w:r>
    </w:p>
    <w:p>
      <w:pPr>
        <w:spacing w:after="120"/>
        <w:ind w:left="720" w:hanging="360"/>
      </w:pPr>
      <w:r>
        <w:t>•  Crimes Against Humanity (International Law)</w:t>
      </w:r>
    </w:p>
    <w:p>
      <w:pPr>
        <w:spacing w:after="120"/>
        <w:ind w:left="720" w:hanging="360"/>
      </w:pPr>
      <w:r>
        <w:t>•  RICO Conspiracy (continuous criminal enterprise resets limitations period)</w:t>
      </w:r>
    </w:p>
    <w:p>
      <w:pPr>
        <w:pStyle w:val="Heading1"/>
      </w:pPr>
      <w:r>
        <w:t>PART VI: CIVIL ARREST WARRANT AND DETENTION ORDER</w:t>
      </w:r>
    </w:p>
    <w:p>
      <w:pPr>
        <w:pBdr>
          <w:top w:val="double" w:color="c53030" w:sz="6"/>
          <w:bottom w:val="double" w:color="c53030" w:sz="6"/>
        </w:pBdr>
        <w:spacing w:before="200" w:after="400"/>
        <w:jc w:val="center"/>
      </w:pPr>
      <w:r>
        <w:rPr>
          <w:b/>
          <w:caps/>
          <w:color w:val="c53030"/>
          <w:sz w:val="32"/>
        </w:rPr>
        <w:t>⚠  INTERNATIONAL CIVIL ARREST WARRANT  ⚠</w:t>
      </w:r>
    </w:p>
    <w:p>
      <w:pPr>
        <w:spacing w:after="400"/>
        <w:jc w:val="center"/>
      </w:pPr>
      <w:r>
        <w:rPr>
          <w:b/>
          <w:sz w:val="28"/>
        </w:rPr>
        <w:t>ACT OF CIVIL DETENTION AND ARREST</w:t>
      </w:r>
    </w:p>
    <w:p>
      <w:pPr>
        <w:spacing w:after="200"/>
        <w:jc w:val="center"/>
      </w:pPr>
      <w:r>
        <w:t>Issued Under Authority of Natural Law and Universal Jurisdiction</w:t>
      </w:r>
    </w:p>
    <w:p>
      <w:pPr>
        <w:shd w:val="clear" w:fill="e2e8f0"/>
        <w:spacing w:before="400" w:after="400"/>
        <w:jc w:val="center"/>
      </w:pPr>
      <w:r>
        <w:rPr>
          <w:b/>
          <w:sz w:val="24"/>
        </w:rPr>
        <w:t>WARRANT NO. ORDER-322-2026-CIVIL-ARREST</w:t>
      </w:r>
    </w:p>
    <w:p>
      <w:r>
        <w:rPr>
          <w:b/>
        </w:rPr>
        <w:t>Date of Issuance: </w:t>
      </w:r>
      <w:r>
        <w:t>February 28, 2026</w:t>
      </w:r>
    </w:p>
    <w:p>
      <w:r>
        <w:rPr>
          <w:b/>
        </w:rPr>
        <w:t>Place of Issuance: </w:t>
      </w:r>
      <w:r>
        <w:t>International Jurisdiction / Universal Jurisdiction</w:t>
      </w:r>
    </w:p>
    <w:p>
      <w:pPr>
        <w:pStyle w:val="Heading2"/>
      </w:pPr>
      <w:r>
        <w:t>ISSUING AUTHORITY</w:t>
      </w:r>
    </w:p>
    <w:p>
      <w:r>
        <w:t>This warrant is issued by Davyd K. (Zero Azimuth), acting as representative and voice of the will of the People of Earth, proceeding from the fundamental, inalienable, and eternal norms and values recognized by humanity since time immemorial, pursuant to the International Declaration of Action and Sovereignty executed February 28, 2026.</w:t>
      </w:r>
    </w:p>
    <w:p>
      <w:r>
        <w:t>This warrant is issued under the authority of:</w:t>
      </w:r>
    </w:p>
    <w:p>
      <w:pPr>
        <w:spacing w:after="120"/>
        <w:ind w:left="720" w:hanging="360"/>
      </w:pPr>
      <w:r>
        <w:t>•  Natural Law and Universal Human Rights</w:t>
      </w:r>
    </w:p>
    <w:p>
      <w:pPr>
        <w:spacing w:after="120"/>
        <w:ind w:left="720" w:hanging="360"/>
      </w:pPr>
      <w:r>
        <w:t>•  Jus Cogens - Peremptory norms of general international law</w:t>
      </w:r>
    </w:p>
    <w:p>
      <w:pPr>
        <w:spacing w:after="120"/>
        <w:ind w:left="720" w:hanging="360"/>
      </w:pPr>
      <w:r>
        <w:t>•  Universal Jurisdiction over war crimes, crimes against humanity, and torture</w:t>
      </w:r>
    </w:p>
    <w:p>
      <w:pPr>
        <w:spacing w:after="120"/>
        <w:ind w:left="720" w:hanging="360"/>
      </w:pPr>
      <w:r>
        <w:t>•  The inherent right of the People to hold criminals accountable</w:t>
      </w:r>
    </w:p>
    <w:p>
      <w:pPr>
        <w:pStyle w:val="Heading2"/>
      </w:pPr>
      <w:r>
        <w:t>SUBJECTS OF THIS WARRANT</w:t>
      </w:r>
    </w:p>
    <w:p>
      <w:r>
        <w:t>This warrant applies to ALL PERSONS named in the Complete Criminal List (Part V of this document), including but not limited to:</w:t>
      </w:r>
    </w:p>
    <w:p>
      <w:pPr>
        <w:pStyle w:val="Heading3"/>
      </w:pPr>
      <w:r>
        <w:t>Category A - Active Criminals (Priority Apprehension)</w:t>
      </w:r>
    </w:p>
    <w:p>
      <w:pPr>
        <w:spacing w:after="120"/>
        <w:ind w:left="720" w:hanging="360"/>
      </w:pPr>
      <w:r>
        <w:t>•  Austan Goolsbee (Bones 1991) - President, Federal Reserve Bank of Chicago</w:t>
      </w:r>
    </w:p>
    <w:p>
      <w:pPr>
        <w:spacing w:after="120"/>
        <w:ind w:left="720" w:hanging="360"/>
      </w:pPr>
      <w:r>
        <w:t>•  Andrew Klaber - Russell Trust Association Board Chair</w:t>
      </w:r>
    </w:p>
    <w:p>
      <w:pPr>
        <w:spacing w:after="120"/>
        <w:ind w:left="720" w:hanging="360"/>
      </w:pPr>
      <w:r>
        <w:t>•  George W. Bush (Bones 1968) - Former U.S. President</w:t>
      </w:r>
    </w:p>
    <w:p>
      <w:pPr>
        <w:spacing w:after="120"/>
        <w:ind w:left="720" w:hanging="360"/>
      </w:pPr>
      <w:r>
        <w:t>•  Stephen Schwarzman (Bones 1969) - CEO, Blackstone Inc.</w:t>
      </w:r>
    </w:p>
    <w:p>
      <w:pPr>
        <w:spacing w:after="120"/>
        <w:ind w:left="720" w:hanging="360"/>
      </w:pPr>
      <w:r>
        <w:t>•  Steven Mnuchin (Bones 1985) - Former U.S. Treasury Secretary</w:t>
      </w:r>
    </w:p>
    <w:p>
      <w:pPr>
        <w:spacing w:after="120"/>
        <w:ind w:left="720" w:hanging="360"/>
      </w:pPr>
      <w:r>
        <w:t>•  Edward Lampert (Bones 1984) - Chairman, Transformco</w:t>
      </w:r>
    </w:p>
    <w:p>
      <w:pPr>
        <w:spacing w:after="120"/>
        <w:ind w:left="720" w:hanging="360"/>
      </w:pPr>
      <w:r>
        <w:t>•  Robert Kagan (Bones 1980) - Senior Fellow, Brookings Institution</w:t>
      </w:r>
    </w:p>
    <w:p>
      <w:pPr>
        <w:spacing w:after="120"/>
        <w:ind w:left="720" w:hanging="360"/>
      </w:pPr>
      <w:r>
        <w:t>•  John Kerry (Bones 1966) - Former Secretary of State</w:t>
      </w:r>
    </w:p>
    <w:p>
      <w:pPr>
        <w:spacing w:after="120"/>
        <w:ind w:left="720" w:hanging="360"/>
      </w:pPr>
      <w:r>
        <w:t>•  James Boasberg (Bones 1985) - Chief Judge, DC District Court</w:t>
      </w:r>
    </w:p>
    <w:p>
      <w:pPr>
        <w:spacing w:after="120"/>
        <w:ind w:left="720" w:hanging="360"/>
      </w:pPr>
      <w:r>
        <w:t>•  Dana Milbank (Bones 1990) - Columnist, Washington Post</w:t>
      </w:r>
    </w:p>
    <w:p>
      <w:pPr>
        <w:spacing w:after="120"/>
        <w:ind w:left="720" w:hanging="360"/>
      </w:pPr>
      <w:r>
        <w:t>•  David Leonhardt (Bones 1994) - Editorial Director, NYT Opinion</w:t>
      </w:r>
    </w:p>
    <w:p>
      <w:pPr>
        <w:pStyle w:val="Heading3"/>
      </w:pPr>
      <w:r>
        <w:t>Category B - Living but Retired</w:t>
      </w:r>
    </w:p>
    <w:p>
      <w:pPr>
        <w:spacing w:after="120"/>
        <w:ind w:left="720" w:hanging="360"/>
      </w:pPr>
      <w:r>
        <w:t>•  Victor Ashe (Bones 1967) - Former Ambassador to Poland</w:t>
      </w:r>
    </w:p>
    <w:p>
      <w:pPr>
        <w:spacing w:after="120"/>
        <w:ind w:left="720" w:hanging="360"/>
      </w:pPr>
      <w:r>
        <w:t>•  Roy Austin (Bones 1968) - Former Ambassador to Trinidad</w:t>
      </w:r>
    </w:p>
    <w:p>
      <w:pPr>
        <w:spacing w:after="120"/>
        <w:ind w:left="720" w:hanging="360"/>
      </w:pPr>
      <w:r>
        <w:t>•  Rex Cowdry (Bones 1968) - Former NIMH Director</w:t>
      </w:r>
    </w:p>
    <w:p>
      <w:pPr>
        <w:spacing w:after="120"/>
        <w:ind w:left="720" w:hanging="360"/>
      </w:pPr>
      <w:r>
        <w:t>•  Robert McCallum Jr. (Bones 1968) - Former Associate Attorney General</w:t>
      </w:r>
    </w:p>
    <w:p>
      <w:pPr>
        <w:pStyle w:val="Heading3"/>
      </w:pPr>
      <w:r>
        <w:t>Category C - Deceased (Posthumous Accountability)</w:t>
      </w:r>
    </w:p>
    <w:p>
      <w:pPr>
        <w:spacing w:after="120"/>
        <w:ind w:left="720" w:hanging="360"/>
      </w:pPr>
      <w:r>
        <w:t>•  Prescott Bush (Bones 1917) - Deceased 1972</w:t>
      </w:r>
    </w:p>
    <w:p>
      <w:pPr>
        <w:spacing w:after="120"/>
        <w:ind w:left="720" w:hanging="360"/>
      </w:pPr>
      <w:r>
        <w:t>•  George H.W. Bush (Bones 1948) - Deceased 2018</w:t>
      </w:r>
    </w:p>
    <w:p>
      <w:pPr>
        <w:spacing w:after="120"/>
        <w:ind w:left="720" w:hanging="360"/>
      </w:pPr>
      <w:r>
        <w:t>•  William Huntington Russell - Founder, Deceased 1885</w:t>
      </w:r>
    </w:p>
    <w:p>
      <w:pPr>
        <w:spacing w:after="120"/>
        <w:ind w:left="720" w:hanging="360"/>
      </w:pPr>
      <w:r>
        <w:t>•  Averell Harriman (Bones 1913) - Deceased 1986</w:t>
      </w:r>
    </w:p>
    <w:p>
      <w:pPr>
        <w:spacing w:after="120"/>
        <w:ind w:left="720" w:hanging="360"/>
      </w:pPr>
      <w:r>
        <w:t>•  George Herbert Walker - Deceased 1953</w:t>
      </w:r>
    </w:p>
    <w:p>
      <w:pPr>
        <w:spacing w:after="120"/>
        <w:ind w:left="720" w:hanging="360"/>
      </w:pPr>
      <w:r>
        <w:t>•  McGeorge Bundy (Bones 1940) - Deceased 1996</w:t>
      </w:r>
    </w:p>
    <w:p>
      <w:pPr>
        <w:spacing w:after="120"/>
        <w:ind w:left="720" w:hanging="360"/>
      </w:pPr>
      <w:r>
        <w:t>•  William Bundy (Bones 1939) - Deceased 2000</w:t>
      </w:r>
    </w:p>
    <w:p>
      <w:pPr>
        <w:spacing w:after="120"/>
        <w:ind w:left="720" w:hanging="360"/>
      </w:pPr>
      <w:r>
        <w:t>•  Henry Luce (Bones 1920) - Deceased 1967</w:t>
      </w:r>
    </w:p>
    <w:p>
      <w:pPr>
        <w:spacing w:after="120"/>
        <w:ind w:left="720" w:hanging="360"/>
      </w:pPr>
      <w:r>
        <w:t>•  Henry Stimson (Bones 1888) - Deceased 1950</w:t>
      </w:r>
    </w:p>
    <w:p>
      <w:pPr>
        <w:spacing w:after="120"/>
        <w:ind w:left="720" w:hanging="360"/>
      </w:pPr>
      <w:r>
        <w:t>•  Robert Lovett (Bones 1918) - Deceased 1986</w:t>
      </w:r>
    </w:p>
    <w:p>
      <w:pPr>
        <w:spacing w:after="120"/>
        <w:ind w:left="720" w:hanging="360"/>
      </w:pPr>
      <w:r>
        <w:t>•  William F. Buckley Jr. (Bones 1950) - Deceased 2008</w:t>
      </w:r>
    </w:p>
    <w:p>
      <w:pPr>
        <w:pStyle w:val="Heading3"/>
      </w:pPr>
      <w:r>
        <w:t>Category D - Corporate Entities</w:t>
      </w:r>
    </w:p>
    <w:p>
      <w:pPr>
        <w:spacing w:after="120"/>
        <w:ind w:left="720" w:hanging="360"/>
      </w:pPr>
      <w:r>
        <w:t>•  Russell Trust Association (RTA) - Corporate vehicle for criminal enterprise</w:t>
      </w:r>
    </w:p>
    <w:p>
      <w:pPr>
        <w:spacing w:after="120"/>
        <w:ind w:left="720" w:hanging="360"/>
      </w:pPr>
      <w:r>
        <w:t>•  Brown Brothers Harriman - Financial infrastructure for money laundering</w:t>
      </w:r>
    </w:p>
    <w:p>
      <w:pPr>
        <w:pStyle w:val="Heading2"/>
      </w:pPr>
      <w:r>
        <w:t>CHARGES AND ALLEGATIONS</w:t>
      </w:r>
    </w:p>
    <w:p>
      <w:r>
        <w:t>The subjects of this warrant are charged with the following crimes:</w:t>
      </w:r>
    </w:p>
    <w:p>
      <w:pPr>
        <w:pStyle w:val="Heading3"/>
      </w:pPr>
      <w:r>
        <w:t>RICO Conspiracy (18 U.S.C. Section 1962)</w:t>
      </w:r>
    </w:p>
    <w:p>
      <w:r>
        <w:t>The Russell Trust Association constitutes an ongoing criminal enterprise with a pattern of racketeering activity spanning 190+ years, including treason, money laundering, war crimes, and conspiracy.</w:t>
      </w:r>
    </w:p>
    <w:p>
      <w:pPr>
        <w:pStyle w:val="Heading3"/>
      </w:pPr>
      <w:r>
        <w:t>War Crimes (18 U.S.C. Section 2441)</w:t>
      </w:r>
    </w:p>
    <w:p>
      <w:r>
        <w:t>Multiple subjects authorized, participated in, or enabled: illegal invasion of Iraq (2003), torture programs at Abu Ghraib and Guantanamo Bay, Phoenix Program assassinations in Vietnam, and CIA-backed coups resulting in mass civilian casualties.</w:t>
      </w:r>
    </w:p>
    <w:p>
      <w:pPr>
        <w:pStyle w:val="Heading3"/>
      </w:pPr>
      <w:r>
        <w:t>Crimes Against Humanity</w:t>
      </w:r>
    </w:p>
    <w:p>
      <w:r>
        <w:t>Subjects participated in systematic attacks against civilian populations, including bombing of civilian infrastructure, authorization of torture, and support for regimes committing human rights abuses.</w:t>
      </w:r>
    </w:p>
    <w:p>
      <w:pPr>
        <w:pStyle w:val="Heading3"/>
      </w:pPr>
      <w:r>
        <w:t>Treason (18 U.S.C. Section 2381)</w:t>
      </w:r>
    </w:p>
    <w:p>
      <w:r>
        <w:t>Prescott Bush and associates provided aid and comfort to Nazi Germany during time of war through financial infrastructure, including Union Banking Corporation operations that funded Hitler's war machine.</w:t>
      </w:r>
    </w:p>
    <w:p>
      <w:pPr>
        <w:pStyle w:val="Heading3"/>
      </w:pPr>
      <w:r>
        <w:t>Trading with the Enemy Act Violations (50 U.S.C. App. Section 1)</w:t>
      </w:r>
    </w:p>
    <w:p>
      <w:r>
        <w:t>Multiple subjects conducted business with enemy nations during time of war, resulting in seizure of assets under Vesting Orders 248 and related orders.</w:t>
      </w:r>
    </w:p>
    <w:p>
      <w:pPr>
        <w:pStyle w:val="Heading3"/>
      </w:pPr>
      <w:r>
        <w:t>Money Laundering (18 U.S.C. Section 1956)</w:t>
      </w:r>
    </w:p>
    <w:p>
      <w:r>
        <w:t>Ongoing facilitation of undocumented fund movements through RTA's exempt status, Brown Brothers Harriman operations, and Pentagon accounting fraud totaling $115+ trillion.</w:t>
      </w:r>
    </w:p>
    <w:p>
      <w:pPr>
        <w:pStyle w:val="Heading3"/>
      </w:pPr>
      <w:r>
        <w:t>Conspiracy to Defraud the United States (18 U.S.C. Section 371)</w:t>
      </w:r>
    </w:p>
    <w:p>
      <w:r>
        <w:t>Systematic diversion of Department of Defense funds, manufacturing of false intelligence to justify illegal wars, and institutional capture of Treasury, Federal Reserve, CIA, and DOD.</w:t>
      </w:r>
    </w:p>
    <w:p>
      <w:pPr>
        <w:pStyle w:val="Heading2"/>
      </w:pPr>
      <w:r>
        <w:t>CIVIL DETENTION AUTHORITY</w:t>
      </w:r>
    </w:p>
    <w:p>
      <w:r>
        <w:t>Pursuant to the inherent authority of the People under Natural Law and the doctrine of universal jurisdiction over war crimes and crimes against humanity, this warrant authorizes:</w:t>
      </w:r>
    </w:p>
    <w:p>
      <w:pPr>
        <w:spacing w:after="120"/>
        <w:ind w:left="720" w:hanging="360"/>
      </w:pPr>
      <w:r>
        <w:t>•  IMMEDIATE CIVIL DETENTION of all living subjects named in Category A (Active Criminals)</w:t>
      </w:r>
    </w:p>
    <w:p>
      <w:pPr>
        <w:spacing w:after="120"/>
        <w:ind w:left="720" w:hanging="360"/>
      </w:pPr>
      <w:r>
        <w:t>•  FREEZING OF ALL ASSETS belonging to subjects and their corporate entities</w:t>
      </w:r>
    </w:p>
    <w:p>
      <w:pPr>
        <w:spacing w:after="120"/>
        <w:ind w:left="720" w:hanging="360"/>
      </w:pPr>
      <w:r>
        <w:t>•  SEIZURE OF DOCUMENTS and electronic records related to criminal activities</w:t>
      </w:r>
    </w:p>
    <w:p>
      <w:pPr>
        <w:spacing w:after="120"/>
        <w:ind w:left="720" w:hanging="360"/>
      </w:pPr>
      <w:r>
        <w:t>•  PREVENTION OF FLIGHT or escape from jurisdiction</w:t>
      </w:r>
    </w:p>
    <w:p>
      <w:pPr>
        <w:spacing w:after="120"/>
        <w:ind w:left="720" w:hanging="360"/>
      </w:pPr>
      <w:r>
        <w:t>•  PROTECTION OF WITNESSES and preservation of evidence</w:t>
      </w:r>
    </w:p>
    <w:p>
      <w:pPr>
        <w:pStyle w:val="Heading2"/>
      </w:pPr>
      <w:r>
        <w:t>EXECUTION INSTRUCTIONS FOR WORLD EXECUTIVE BODIES</w:t>
      </w:r>
    </w:p>
    <w:p>
      <w:r>
        <w:t>This warrant is issued to ALL world executive bodies, law enforcement agencies, and peace officers with jurisdiction, including but not limited to:</w:t>
      </w:r>
    </w:p>
    <w:p>
      <w:pPr>
        <w:spacing w:after="120"/>
        <w:ind w:left="720" w:hanging="360"/>
      </w:pPr>
      <w:r>
        <w:t>•  International Criminal Court (ICC) - The Hague</w:t>
      </w:r>
    </w:p>
    <w:p>
      <w:pPr>
        <w:spacing w:after="120"/>
        <w:ind w:left="720" w:hanging="360"/>
      </w:pPr>
      <w:r>
        <w:t>•  United Nations Security Council</w:t>
      </w:r>
    </w:p>
    <w:p>
      <w:pPr>
        <w:spacing w:after="120"/>
        <w:ind w:left="720" w:hanging="360"/>
      </w:pPr>
      <w:r>
        <w:t>•  Interpol - International Criminal Police Organization</w:t>
      </w:r>
    </w:p>
    <w:p>
      <w:pPr>
        <w:spacing w:after="120"/>
        <w:ind w:left="720" w:hanging="360"/>
      </w:pPr>
      <w:r>
        <w:t>•  Federal Bureau of Investigation (FBI) - United States</w:t>
      </w:r>
    </w:p>
    <w:p>
      <w:pPr>
        <w:spacing w:after="120"/>
        <w:ind w:left="720" w:hanging="360"/>
      </w:pPr>
      <w:r>
        <w:t>•  Department of Justice (DOJ) - United States</w:t>
      </w:r>
    </w:p>
    <w:p>
      <w:pPr>
        <w:spacing w:after="120"/>
        <w:ind w:left="720" w:hanging="360"/>
      </w:pPr>
      <w:r>
        <w:t>•  U.S. Marshals Service</w:t>
      </w:r>
    </w:p>
    <w:p>
      <w:pPr>
        <w:spacing w:after="120"/>
        <w:ind w:left="720" w:hanging="360"/>
      </w:pPr>
      <w:r>
        <w:t>•  State and Local Law Enforcement - All Jurisdictions</w:t>
      </w:r>
    </w:p>
    <w:p>
      <w:pPr>
        <w:spacing w:after="120"/>
        <w:ind w:left="720" w:hanging="360"/>
      </w:pPr>
      <w:r>
        <w:t>•  Military Police - Where Civilian Authority is Compromised</w:t>
      </w:r>
    </w:p>
    <w:p>
      <w:pPr>
        <w:spacing w:before="400"/>
      </w:pPr>
      <w:r>
        <w:rPr>
          <w:b/>
          <w:color w:val="c53030"/>
        </w:rPr>
        <w:t>INSTRUCTIONS:</w:t>
      </w:r>
    </w:p>
    <w:p>
      <w:pPr>
        <w:spacing w:after="120"/>
        <w:ind w:left="720" w:hanging="360"/>
      </w:pPr>
      <w:r>
        <w:rPr>
          <w:b/>
        </w:rPr>
        <w:t>1. </w:t>
      </w:r>
      <w:r>
        <w:t>Apprehend all living subjects named in Category A immediately upon sight.</w:t>
      </w:r>
    </w:p>
    <w:p>
      <w:pPr>
        <w:spacing w:after="120"/>
        <w:ind w:left="720" w:hanging="360"/>
      </w:pPr>
      <w:r>
        <w:rPr>
          <w:b/>
        </w:rPr>
        <w:t>2. </w:t>
      </w:r>
      <w:r>
        <w:t>Secure all financial assets and records belonging to subjects.</w:t>
      </w:r>
    </w:p>
    <w:p>
      <w:pPr>
        <w:spacing w:after="120"/>
        <w:ind w:left="720" w:hanging="360"/>
      </w:pPr>
      <w:r>
        <w:rPr>
          <w:b/>
        </w:rPr>
        <w:t>3. </w:t>
      </w:r>
      <w:r>
        <w:t>Coordinate with international authorities for cross-border apprehension.</w:t>
      </w:r>
    </w:p>
    <w:p>
      <w:pPr>
        <w:spacing w:after="120"/>
        <w:ind w:left="720" w:hanging="360"/>
      </w:pPr>
      <w:r>
        <w:rPr>
          <w:b/>
        </w:rPr>
        <w:t>4. </w:t>
      </w:r>
      <w:r>
        <w:t>Protect all evidence and witnesses from destruction or intimidation.</w:t>
      </w:r>
    </w:p>
    <w:p>
      <w:pPr>
        <w:spacing w:after="120"/>
        <w:ind w:left="720" w:hanging="360"/>
      </w:pPr>
      <w:r>
        <w:rPr>
          <w:b/>
        </w:rPr>
        <w:t>5. </w:t>
      </w:r>
      <w:r>
        <w:t>Report all apprehensions to the issuing authority within 24 hours.</w:t>
      </w:r>
    </w:p>
    <w:p>
      <w:pPr>
        <w:spacing w:after="120"/>
        <w:ind w:left="720" w:hanging="360"/>
      </w:pPr>
      <w:r>
        <w:rPr>
          <w:b/>
        </w:rPr>
        <w:t>6. </w:t>
      </w:r>
      <w:r>
        <w:t>Use reasonable force as necessary to effect detention.</w:t>
      </w:r>
    </w:p>
    <w:p>
      <w:pPr>
        <w:pStyle w:val="Heading2"/>
      </w:pPr>
      <w:r>
        <w:t>LEGAL BASIS FOR CIVIL DETENTION</w:t>
      </w:r>
    </w:p>
    <w:p>
      <w:r>
        <w:t>This warrant is issued under the following legal authorities:</w:t>
      </w:r>
    </w:p>
    <w:p>
      <w:pPr>
        <w:pStyle w:val="Heading3"/>
      </w:pPr>
      <w:r>
        <w:t>Natural Law</w:t>
      </w:r>
    </w:p>
    <w:p>
      <w:r>
        <w:t>All human beings possess inherent rights to life, liberty, and security of person. When governmental structures fail to protect these rights or become complicit in their violation, the People retain the inherent authority to act in their own defense.</w:t>
      </w:r>
    </w:p>
    <w:p>
      <w:pPr>
        <w:pStyle w:val="Heading3"/>
      </w:pPr>
      <w:r>
        <w:t>Universal Jurisdiction</w:t>
      </w:r>
    </w:p>
    <w:p>
      <w:r>
        <w:t>Under customary international law, certain crimes - including war crimes, crimes against humanity, and torture - are subject to universal jurisdiction, allowing any state or competent authority to prosecute regardless of where the crime occurred or the nationality of the perpetrator.</w:t>
      </w:r>
    </w:p>
    <w:p>
      <w:pPr>
        <w:pStyle w:val="Heading3"/>
      </w:pPr>
      <w:r>
        <w:t>Jus Cogens</w:t>
      </w:r>
    </w:p>
    <w:p>
      <w:r>
        <w:t>Peremptory norms of general international law (jus cogens) prohibit the most serious international crimes, including aggressive war, genocide, crimes against humanity, and torture. No treaty or domestic law can authorize violations of jus cogens norms.</w:t>
      </w:r>
    </w:p>
    <w:p>
      <w:pPr>
        <w:pStyle w:val="Heading3"/>
      </w:pPr>
      <w:r>
        <w:t>Doctrine of Necessity</w:t>
      </w:r>
    </w:p>
    <w:p>
      <w:r>
        <w:t>When regular legal channels are captured by criminal enterprises or otherwise unavailable, affected populations may exercise their inherent right to self-protection through civil action, including citizen's arrest and detention of dangerous criminals.</w:t>
      </w:r>
    </w:p>
    <w:p>
      <w:pPr>
        <w:pStyle w:val="Heading2"/>
      </w:pPr>
      <w:r>
        <w:t>CRYPTOGRAPHIC VERIFICATION</w:t>
      </w:r>
    </w:p>
    <w:p>
      <w:r>
        <w:t>This warrant is cryptographically signed and its integrity is protected by the following identifiers:</w:t>
      </w:r>
    </w:p>
    <w:p>
      <w:r>
        <w:rPr>
          <w:b/>
        </w:rPr>
        <w:t>Master Document ID: </w:t>
      </w:r>
      <w:r>
        <w:t>8021DD7DF58045EF889F0B1E56E0859D</w:t>
      </w:r>
    </w:p>
    <w:p>
      <w:r>
        <w:rPr>
          <w:b/>
        </w:rPr>
        <w:t>Warrant ID: </w:t>
      </w:r>
      <w:r>
        <w:t>ORDER-322-2026-CIVIL-ARREST</w:t>
      </w:r>
    </w:p>
    <w:p>
      <w:r>
        <w:rPr>
          <w:b/>
        </w:rPr>
        <w:t>Timestamp (UTC): </w:t>
      </w:r>
      <w:r>
        <w:t>2026-02-28T11:56:04Z</w:t>
      </w:r>
    </w:p>
    <w:p>
      <w:r>
        <w:rPr>
          <w:b/>
        </w:rPr>
        <w:t>SHA-256 Hash: </w:t>
      </w:r>
      <w:r>
        <w:t>2F023B6287A1B5FF3199BC0CE886F67365906996273B79DA7FC09E140176E40C</w:t>
      </w:r>
    </w:p>
    <w:p>
      <w:r>
        <w:t>This document may be verified using the Document Hash and Public Key Fingerprint provided in the International Declaration of Action and Sovereignty (Part I of this document).</w:t>
      </w:r>
    </w:p>
    <w:p>
      <w:pPr>
        <w:pStyle w:val="Heading2"/>
      </w:pPr>
      <w:r>
        <w:t>EXECUTION AND DIGITAL SIGNATURE</w:t>
      </w:r>
    </w:p>
    <w:p>
      <w:r>
        <w:rPr>
          <w:b/>
        </w:rPr>
        <w:t>Date: </w:t>
      </w:r>
      <w:r>
        <w:t>February 28, 2026</w:t>
      </w:r>
    </w:p>
    <w:p>
      <w:r>
        <w:rPr>
          <w:b/>
        </w:rPr>
        <w:t>Place of Execution: </w:t>
      </w:r>
      <w:r>
        <w:t>International Jurisdiction, Universal Jurisdiction</w:t>
      </w:r>
    </w:p>
    <w:p>
      <w:pPr>
        <w:spacing w:before="600"/>
      </w:pPr>
      <w:r>
        <w:rPr>
          <w:b/>
          <w:sz w:val="28"/>
        </w:rPr>
        <w:t>Davyd K. (Zero Azimuth)</w:t>
      </w:r>
    </w:p>
    <w:p>
      <w:r>
        <w:t>Representative of the People of Earth</w:t>
      </w:r>
    </w:p>
    <w:p>
      <w:r>
        <w:t>Voice of Truth and Natural Justice</w:t>
      </w:r>
    </w:p>
    <w:p>
      <w:pPr>
        <w:pBdr>
          <w:top w:val="single" w:color="1a202c" w:sz="4"/>
        </w:pBdr>
        <w:spacing w:before="400" w:after="200"/>
        <w:ind w:left="720" w:right="720"/>
      </w:pPr>
      <w:r>
        <w:rPr>
          <w:i/>
        </w:rPr>
        <w:t>Signature of the Issuing Authority</w:t>
      </w:r>
    </w:p>
    <w:p>
      <w:r>
        <w:rPr>
          <w:b/>
        </w:rPr>
        <w:t>DIGITAL SIGNATURE / CRYPTOGRAPHIC SEAL</w:t>
      </w:r>
    </w:p>
    <w:p>
      <w:r>
        <w:rPr>
          <w:sz w:val="20"/>
        </w:rPr>
      </w:r>
      <w:r>
        <w:t>SHA-384 Signature Hash: 92ED4CC618DBBDF7C5F36B9E051BC0EF42D70598EFD1FDB4C279511DA3D62A92D825C5948A83512A0B550AD83CD74AED</w:t>
      </w:r>
    </w:p>
    <w:p>
      <w:pPr>
        <w:pBdr>
          <w:top w:val="single" w:color="c53030" w:sz="12"/>
          <w:left w:val="single" w:color="c53030" w:sz="12"/>
          <w:bottom w:val="single" w:color="c53030" w:sz="12"/>
          <w:right w:val="single" w:color="c53030" w:sz="12"/>
        </w:pBdr>
        <w:shd w:val="clear" w:fill="fed7d7"/>
        <w:spacing w:before="600" w:after="200"/>
        <w:jc w:val="center"/>
      </w:pPr>
      <w:r>
        <w:rPr>
          <w:b/>
          <w:color w:val="c53030"/>
          <w:sz w:val="24"/>
        </w:rPr>
        <w:t>⚠ WARNING ⚠</w:t>
      </w:r>
    </w:p>
    <w:p>
      <w:pPr>
        <w:pBdr>
          <w:left w:val="single" w:color="c53030" w:sz="12"/>
          <w:bottom w:val="single" w:color="c53030" w:sz="12"/>
          <w:right w:val="single" w:color="c53030" w:sz="12"/>
        </w:pBdr>
        <w:shd w:val="clear" w:fill="fed7d7"/>
        <w:spacing w:after="400"/>
        <w:ind w:left="200" w:right="200"/>
        <w:jc w:val="center"/>
      </w:pPr>
      <w:r>
        <w:rPr>
          <w:b/>
        </w:rPr>
        <w:t>THE SUBJECTS NAMED IN THIS WARRANT ARE CONSIDERED DANGEROUS AND MAY BE ARMED. APPREHENSION SHOULD BE CONDUCTED BY TRAINED LAW ENFORCEMENT PERSONNEL ONLY. ANY PERSON HARBORING, AIDING, OR ASSISTING THESE FUGITIVES MAY BE SUBJECT TO PROSECUTION UNDER APPLICABLE LAW.</w:t>
      </w:r>
    </w:p>
    <w:p>
      <w:pPr>
        <w:spacing w:before="600" w:after="200"/>
        <w:jc w:val="center"/>
      </w:pPr>
      <w:r>
        <w:rPr>
          <w:b/>
          <w:color w:val="1a365d"/>
          <w:sz w:val="22"/>
        </w:rPr>
        <w:t>THIS WARRANT REMAINS IN EFFECT UNTIL ALL SUBJECTS ARE APPREHENDED AND BROUGHT TO JUSTICE</w:t>
      </w:r>
    </w:p>
    <w:p>
      <w:pPr>
        <w:jc w:val="center"/>
      </w:pPr>
      <w:r>
        <w:t>No statute of limitations applies to war crimes, crimes against humanity, or treason.</w:t>
      </w:r>
    </w:p>
    <w:p>
      <w:pPr>
        <w:pBdr>
          <w:top w:val="double" w:color="1a365d" w:sz="6"/>
        </w:pBdr>
        <w:spacing w:before="400"/>
        <w:jc w:val="center"/>
      </w:pPr>
      <w:r>
        <w:rPr>
          <w:color w:val="1a365d"/>
          <w:sz w:val="28"/>
        </w:rPr>
        <w:t>★  ★  ★</w:t>
      </w:r>
    </w:p>
    <w:p>
      <w:pPr>
        <w:jc w:val="center"/>
      </w:pPr>
      <w:r>
        <w:rPr>
          <w:i/>
          <w:color w:val="718096"/>
        </w:rPr>
        <w:t>End of Document</w:t>
      </w:r>
    </w:p>
    <w:sectPr>
      <w:headerReference w:type="default" r:id="R3941d9f1c8544fd7"/>
      <w:footerReference w:type="default" r:id="R3837d377157b4f62"/>
      <w:pgSz w:w="11906" w:h="16838"/>
      <w:pgMar w:top="1440" w:right="1440" w:bottom="1440" w:left="1440" w:header="720" w:footer="720"/>
    </w:sectPr>
  </w:body>
</w:document>
</file>

<file path=word/footer1.xml><?xml version="1.0" encoding="utf-8"?>
<w:ftr xmlns:w="http://schemas.openxmlformats.org/wordprocessingml/2006/main">
  <w:p>
    <w:pPr>
      <w:jc w:val="center"/>
    </w:pPr>
    <w:r>
      <w:fldChar w:fldCharType="begin"/>
    </w:r>
    <w:r>
      <w:instrText> PAGE </w:instrText>
    </w:r>
    <w:r>
      <w:fldChar w:fldCharType="separate"/>
    </w:r>
    <w:r>
      <w:t>1</w:t>
    </w:r>
    <w:r>
      <w:fldChar w:fldCharType="end"/>
    </w:r>
    <w: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spacing w:before="0" w:after="0"/>
      <w:jc w:val="center"/>
    </w:pPr>
    <w:r>
      <w:rPr>
        <w:b/>
        <w:color w:val="4a5568"/>
        <w:sz w:val="18"/>
      </w:rPr>
      <w:t>FORENSIC FISCAL AUDIT AFFIDAVIT - ORDER 322</w:t>
    </w:r>
  </w:p>
</w:hdr>
</file>

<file path=word/numbering.xml><?xml version="1.0" encoding="utf-8"?>
<w:numbering xmlns:w="http://schemas.openxmlformats.org/wordprocessingml/2006/main">
  <w:abstractNum w:abstractNumId="1">
    <w:lvl w:ilvl="0">
      <w:start w:val="1"/>
      <w:numFmt w:val="decimal"/>
      <w:lvlText w:val="%1."/>
      <w:pPr>
        <w:ind w:left="720" w:hanging="360"/>
      </w:pPr>
    </w:lvl>
  </w:abstractNum>
  <w:num w:numId="1">
    <w:abstractNumId w:val="1"/>
  </w:num>
</w:numbering>
</file>

<file path=word/styles.xml><?xml version="1.0" encoding="utf-8"?>
<w:styles xmlns:w="http://schemas.openxmlformats.org/wordprocessingml/2006/main">
  <w:style w:type="paragraph" w:styleId="Normal" w:default="true">
    <w:name w:val="Normal"/>
    <w:pPr>
      <w:spacing w:after="200" w:line="276" w:lineRule="auto"/>
      <w:jc w:val="both"/>
    </w:pPr>
    <w:rPr>
      <w:rFonts w:ascii="Times New Roman" w:hAnsi="Times New Roman"/>
      <w:color w:val="1a202c"/>
      <w:sz w:val="24"/>
    </w:rPr>
  </w:style>
  <w:style w:type="paragraph" w:styleId="Heading1">
    <w:name w:val="heading 1"/>
    <w:basedOn w:val="Normal"/>
    <w:pPr>
      <w:keepNext/>
      <w:keepLines/>
      <w:pageBreakBefore/>
      <w:spacing w:before="480" w:after="240"/>
      <w:jc w:val="center"/>
      <w:outlineLvl w:val="0"/>
    </w:pPr>
    <w:rPr>
      <w:b/>
      <w:caps/>
      <w:color w:val="1a365d"/>
      <w:sz w:val="36"/>
    </w:rPr>
  </w:style>
  <w:style w:type="paragraph" w:styleId="Heading2">
    <w:name w:val="heading 2"/>
    <w:basedOn w:val="Normal"/>
    <w:pPr>
      <w:keepNext/>
      <w:keepLines/>
      <w:spacing w:before="360" w:after="160"/>
      <w:outlineLvl w:val="1"/>
    </w:pPr>
    <w:rPr>
      <w:b/>
      <w:color w:val="2c5282"/>
      <w:sz w:val="28"/>
    </w:rPr>
  </w:style>
  <w:style w:type="paragraph" w:styleId="Heading3">
    <w:name w:val="heading 3"/>
    <w:basedOn w:val="Normal"/>
    <w:pPr>
      <w:keepNext/>
      <w:keepLines/>
      <w:spacing w:before="280" w:after="120"/>
      <w:outlineLvl w:val="2"/>
    </w:pPr>
    <w:rPr>
      <w:b/>
      <w:color w:val="1a202c"/>
      <w:sz w:val="26"/>
    </w:rPr>
  </w:style>
  <w:style w:type="paragraph" w:styleId="TOC1">
    <w:name w:val="toc 1"/>
    <w:basedOn w:val="Normal"/>
    <w:pPr>
      <w:tabs>
        <w:tab w:val="right" w:leader="dot" w:pos="9350"/>
      </w:tabs>
      <w:spacing w:before="200" w:after="60"/>
    </w:pPr>
    <w:rPr>
      <w:b/>
    </w:rPr>
  </w:style>
  <w:style w:type="paragraph" w:styleId="TOC2">
    <w:name w:val="toc 2"/>
    <w:basedOn w:val="Normal"/>
    <w:pPr>
      <w:tabs>
        <w:tab w:val="right" w:leader="dot" w:pos="9350"/>
      </w:tabs>
      <w:spacing w:before="60" w:after="60"/>
      <w:ind w:left="360"/>
    </w:pPr>
  </w:style>
</w:styles>
</file>

<file path=word/_rels/document.xml.rels>&#65279;<?xml version="1.0" encoding="utf-8"?><Relationships xmlns="http://schemas.openxmlformats.org/package/2006/relationships"><Relationship Type="http://schemas.openxmlformats.org/officeDocument/2006/relationships/styles" Target="/word/styles.xml" Id="Rf5e2051447c441ac" /><Relationship Type="http://schemas.openxmlformats.org/officeDocument/2006/relationships/numbering" Target="/word/numbering.xml" Id="R5432f40cd97c4f83" /><Relationship Type="http://schemas.openxmlformats.org/officeDocument/2006/relationships/header" Target="/word/header1.xml" Id="R3941d9f1c8544fd7" /><Relationship Type="http://schemas.openxmlformats.org/officeDocument/2006/relationships/footer" Target="/word/footer1.xml" Id="R3837d377157b4f62" /></Relationships>
</file>