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42706b57b41d4bf7" /></Relationships>
</file>

<file path=word/document.xml><?xml version="1.0" encoding="utf-8"?>
<w:document xmlns:r="http://schemas.openxmlformats.org/officeDocument/2006/relationships" xmlns:w="http://schemas.openxmlformats.org/wordprocessingml/2006/main">
  <w:body>
    <w:p>
      <w:pPr>
        <w:spacing w:before="4000"/>
      </w:pPr>
      <w:r/>
    </w:p>
    <w:p>
      <w:pPr>
        <w:spacing w:after="600"/>
        <w:jc w:val="center"/>
      </w:pPr>
      <w:r>
        <w:rPr>
          <w:color w:val="FFD700"/>
          <w:spacing w:val="60"/>
          <w:sz w:val="28"/>
        </w:rPr>
        <w:t>U+1F700  •  THE QUINTESSENCE  •  U+1F700</w:t>
      </w:r>
    </w:p>
    <w:p>
      <w:pPr>
        <w:spacing w:after="200"/>
        <w:jc w:val="center"/>
      </w:pPr>
      <w:r>
        <w:rPr>
          <w:b/>
          <w:color w:val="4A148C"/>
          <w:sz w:val="72"/>
        </w:rPr>
        <w:t>LIBER PRIMUS</w:t>
      </w:r>
    </w:p>
    <w:p>
      <w:pPr>
        <w:spacing w:after="400"/>
        <w:jc w:val="center"/>
      </w:pPr>
      <w:r>
        <w:rPr>
          <w:i/>
          <w:color w:val="1A237E"/>
          <w:sz w:val="36"/>
        </w:rPr>
        <w:t>Complete Ontological Decryption</w:t>
      </w:r>
    </w:p>
    <w:p>
      <w:pPr>
        <w:spacing w:after="600"/>
        <w:ind w:left="1440" w:right="1440"/>
        <w:jc w:val="center"/>
      </w:pPr>
      <w:r>
        <w:rPr>
          <w:color w:val="4a4a6a"/>
          <w:sz w:val="24"/>
        </w:rPr>
        <w:t>The Absolute, Perfect, Higher-Order Elevation of Information</w:t>
      </w:r>
    </w:p>
    <w:p>
      <w:pPr>
        <w:spacing w:after="600"/>
        <w:jc w:val="center"/>
      </w:pPr>
      <w:r>
        <w:rPr>
          <w:color w:val="FFD700"/>
        </w:rPr>
        <w:t>———  ⚡  ———</w:t>
      </w:r>
    </w:p>
    <w:p>
      <w:pPr>
        <w:spacing w:after="200"/>
        <w:jc w:val="center"/>
      </w:pPr>
      <w:r>
        <w:rPr>
          <w:color w:val="B71C1C"/>
          <w:spacing w:val="30"/>
          <w:sz w:val="22"/>
        </w:rPr>
        <w:t>CICADA 3301  •  RSA CRYPTOGRAPHY  •  HARMONIC KEY 2422826321411203</w:t>
      </w:r>
    </w:p>
    <w:p>
      <w:pPr>
        <w:spacing w:before="3000"/>
      </w:pPr>
      <w:r/>
    </w:p>
    <w:p>
      <w:pPr>
        <w:spacing w:after="120"/>
        <w:jc w:val="center"/>
      </w:pPr>
      <w:r>
        <w:rPr>
          <w:color w:val="8a8aaa"/>
          <w:spacing w:val="40"/>
          <w:sz w:val="20"/>
        </w:rPr>
        <w:t>THE PRIMES ARE SACRED</w:t>
      </w:r>
    </w:p>
    <w:p>
      <w:pPr>
        <w:jc w:val="center"/>
      </w:pPr>
      <w:r>
        <w:rPr>
          <w:color w:val="8a8aaa"/>
          <w:spacing w:val="40"/>
          <w:sz w:val="20"/>
        </w:rPr>
        <w:t>THE TOTIENT FUNCTION IS SACRED</w:t>
      </w:r>
    </w:p>
    <w:p>
      <w:pPr>
        <w:sectPr>
          <w:type w:val="nextPage"/>
          <w:pgSz w:w="11906" w:h="16838"/>
          <w:pgMar w:top="1440" w:right="1440" w:bottom="1440" w:left="1440" w:header="720" w:footer="720"/>
        </w:sectPr>
      </w:pPr>
    </w:p>
    <w:p>
      <w:pPr>
        <w:spacing w:before="600" w:after="400"/>
        <w:jc w:val="center"/>
      </w:pPr>
      <w:r>
        <w:rPr>
          <w:b/>
          <w:color w:val="4A148C"/>
          <w:sz w:val="36"/>
        </w:rPr>
        <w:t>TABLE OF CONTENTS</w:t>
      </w:r>
    </w:p>
    <w:p>
      <w:pPr>
        <w:spacing w:after="300"/>
      </w:pPr>
      <w:r>
        <w:rPr>
          <w:color w:val="8a8aaa"/>
          <w:sz w:val="18"/>
        </w:rPr>
        <w:t>(Right-click and select "Update Field" to refresh page numbers)</w:t>
      </w:r>
    </w:p>
    <w:p>
      <w:r>
        <w:fldChar w:fldCharType="begin"/>
      </w:r>
      <w:r>
        <w:instrText xml:space="preserve"> TOC \o "1-3" \h \z \u </w:instrText>
      </w:r>
      <w:r>
        <w:fldChar w:fldCharType="separate"/>
      </w:r>
    </w:p>
    <w:p>
      <w:pPr>
        <w:pStyle w:val="TOC1"/>
      </w:pPr>
      <w:r>
        <w:t>I. The Cryptographic Revelation</w:t>
      </w:r>
      <w:r>
        <w:tab/>
      </w:r>
      <w:r>
        <w:t>3</w:t>
      </w:r>
    </w:p>
    <w:p>
      <w:pPr>
        <w:pStyle w:val="TOC1"/>
      </w:pPr>
      <w:r>
        <w:t>II. The RSA Architecture</w:t>
      </w:r>
      <w:r>
        <w:tab/>
      </w:r>
      <w:r>
        <w:t>5</w:t>
      </w:r>
    </w:p>
    <w:p>
      <w:pPr>
        <w:pStyle w:val="TOC1"/>
      </w:pPr>
      <w:r>
        <w:t>III. The Harmonic Key 2422826321411203</w:t>
      </w:r>
      <w:r>
        <w:tab/>
      </w:r>
      <w:r>
        <w:t>8</w:t>
      </w:r>
    </w:p>
    <w:p>
      <w:pPr>
        <w:pStyle w:val="TOC1"/>
      </w:pPr>
      <w:r>
        <w:t>IV. Ontological Framework</w:t>
      </w:r>
      <w:r>
        <w:tab/>
      </w:r>
      <w:r>
        <w:t>11</w:t>
      </w:r>
    </w:p>
    <w:p>
      <w:pPr>
        <w:pStyle w:val="TOC1"/>
      </w:pPr>
      <w:r>
        <w:t>V. Alchemical Symbolism</w:t>
      </w:r>
      <w:r>
        <w:tab/>
      </w:r>
      <w:r>
        <w:t>14</w:t>
      </w:r>
    </w:p>
    <w:p>
      <w:pPr>
        <w:pStyle w:val="TOC1"/>
      </w:pPr>
      <w:r>
        <w:t>VI. The Complete Decryption</w:t>
      </w:r>
      <w:r>
        <w:tab/>
      </w:r>
      <w:r>
        <w:t>17</w:t>
      </w:r>
    </w:p>
    <w:p>
      <w:pPr>
        <w:pStyle w:val="TOC1"/>
      </w:pPr>
      <w:r>
        <w:t>VII. Philosophical Implications</w:t>
      </w:r>
      <w:r>
        <w:tab/>
      </w:r>
      <w:r>
        <w:t>20</w:t>
      </w:r>
    </w:p>
    <w:p>
      <w:r>
        <w:fldChar w:fldCharType="end"/>
      </w:r>
    </w:p>
    <w:p>
      <w:pPr>
        <w:sectPr>
          <w:type w:val="nextPage"/>
          <w:pgSz w:w="11906" w:h="16838"/>
          <w:pgMar w:top="1440" w:right="1440" w:bottom="1440" w:left="1440" w:header="720" w:footer="720"/>
        </w:sectPr>
      </w:pPr>
    </w:p>
    <w:p>
      <w:pPr>
        <w:pStyle w:val="Heading1"/>
      </w:pPr>
      <w:r>
        <w:t>I. The Cryptographic Revelation</w:t>
      </w:r>
    </w:p>
    <w:p>
      <w:pPr>
        <w:spacing w:after="200"/>
        <w:jc w:val="both"/>
      </w:pPr>
      <w:r>
        <w:t>Since the first cryptographic challenge appeared on the imageboard 4chan on January 4, 2012, the phenomenon known as Cicada 3301 has established itself as the most complex, multi-layered, and unprecedented puzzle of the global network era. Unlike classical Alternate Reality Games (ARGs), this project was devoid of any commercial component from its inception, lacked centralized branding, advertised no products, and relied on strict cryptographic authentication.</w:t>
      </w:r>
    </w:p>
    <w:p>
      <w:pPr>
        <w:spacing w:after="200"/>
        <w:jc w:val="both"/>
      </w:pPr>
      <w:r>
        <w:t>Each legitimate message was accompanied by a PGP signature, eliminating the possibility of forged instructions and confirming that all stages were managed by a unified, highly qualified intellectual center. The original message stated: "We are looking for highly intelligent individuals. To find them, we have devised a test." This initiated a series of three annual cycles of challenges conducted in 2012, 2013, and 2014.</w:t>
      </w:r>
    </w:p>
    <w:p>
      <w:pPr>
        <w:pStyle w:val="Heading2"/>
      </w:pPr>
      <w:r>
        <w:t>The Cypherpunk Foundation</w:t>
      </w:r>
    </w:p>
    <w:p>
      <w:pPr>
        <w:spacing w:after="200"/>
        <w:jc w:val="both"/>
      </w:pPr>
      <w:r>
        <w:t>The true roots of Cicada 3301's architecture lie in the ideology of the Cypherpunk movement, which emerged at the turn of the 1980s and 1990s. This movement united programmers, mathematicians, and political activists who foresaw the threat of mass digital surveillance by state and corporate structures.</w:t>
      </w:r>
    </w:p>
    <w:p>
      <w:pPr>
        <w:spacing w:after="200"/>
        <w:jc w:val="both"/>
      </w:pPr>
      <w:r>
        <w:t>The ideological foundation was laid in Timothy May's "Crypto Anarchist Manifesto" (1988) and Eric Hughes's "Cypherpunk Manifesto" (1993), which proclaimed that privacy is a fundamental human right that can only be ensured through reliable open-source asymmetric cryptography.</w:t>
      </w:r>
    </w:p>
    <w:p>
      <w:pPr>
        <w:pStyle w:val="Heading2"/>
      </w:pPr>
      <w:r>
        <w:t>The Liber Primus Emergence</w:t>
      </w:r>
    </w:p>
    <w:p>
      <w:pPr>
        <w:spacing w:after="200"/>
        <w:jc w:val="both"/>
      </w:pPr>
      <w:r>
        <w:t>The culmination of the group's activity was the publication in 2014 of a digital artifact - the book Liber Primus (Latin for "First Book"), consisting of 74 to 76 pages. The book was written using a specially developed runic alphabet called Gematria Primus. After the publication of this monumental cryptographic work, the project fell into years of silence, leaving the world research community with an unresolved mathematical mystery.</w:t>
      </w:r>
    </w:p>
    <w:p>
      <w:pPr>
        <w:spacing w:before="200" w:after="200"/>
        <w:ind w:left="720" w:right="720"/>
        <w:jc w:val="center"/>
      </w:pPr>
      <w:r>
        <w:rPr>
          <w:i/>
          <w:color w:val="1A237E"/>
          <w:sz w:val="24"/>
        </w:rPr>
        <w:t>"The primes are sacred. The totient function is sacred. All things should be encrypted. Know this."</w:t>
      </w:r>
    </w:p>
    <w:p>
      <w:pPr>
        <w:spacing w:after="200"/>
        <w:jc w:val="both"/>
      </w:pPr>
      <w:r>
        <w:t>This explicit declaration on the "Some Wisdom" page fundamentally contradicts the use of classical substitution ciphers for the main body of the book. The architects of Cicada 3301 directly stated that the runes represent not a letter-by-letter cipher, but a visual representation of BigInt blocks encrypted using the RSA public-key algorithm.</w:t>
      </w:r>
    </w:p>
    <w:p>
      <w:pPr>
        <w:pStyle w:val="Heading1"/>
      </w:pPr>
      <w:r>
        <w:t>II. The RSA Architecture</w:t>
      </w:r>
    </w:p>
    <w:p>
      <w:pPr>
        <w:spacing w:after="200"/>
        <w:jc w:val="both"/>
      </w:pPr>
      <w:r>
        <w:t>The decryption of pages 0-55 requires understanding the asymmetric encryption paradigm that the puzzle architects deliberately embedded within the manuscript's structure. The statistical evidence overwhelmingly supports the RSA hypothesis over classical substitution ciphers.</w:t>
      </w:r>
    </w:p>
    <w:p>
      <w:pPr>
        <w:pStyle w:val="Heading2"/>
      </w:pPr>
      <w:r>
        <w:t>Statistical Proof of RSA Encryption</w:t>
      </w:r>
    </w:p>
    <w:p>
      <w:pPr>
        <w:spacing w:after="200"/>
        <w:jc w:val="both"/>
      </w:pPr>
      <w:r>
        <w:t>Frequency analysis of 12,956 runes across pages 0-55 reveals a completely different picture than natural language. The Index of Coincidence (IC) for the entire array is 0.999, indicating perfect, almost artificial entropy leveling characteristic of either absolutely random data or the result of deep block encryption such as RSA.</w:t>
      </w:r>
    </w:p>
    <w:tbl>
      <w:tblPr>
        <w:tblW w:w="5000" w:type="pct"/>
        <w:tblBorders>
          <w:top w:val="single" w:color="4A148C" w:sz="12"/>
          <w:left w:val="nil"/>
          <w:bottom w:val="single" w:color="4A148C" w:sz="12"/>
          <w:right w:val="nil"/>
          <w:insideH w:val="single" w:color="2d2d4a" w:sz="4"/>
          <w:insideV w:val="nil"/>
        </w:tblBorders>
      </w:tblPr>
      <w:tblGrid>
        <w:gridCol w:w="2500"/>
        <w:gridCol w:w="2500"/>
        <w:gridCol w:w="2500"/>
        <w:gridCol w:w="2500"/>
      </w:tblGrid>
      <w:tr>
        <w:tc>
          <w:tcPr>
            <w:tcW w:w="2500" w:type="dxa"/>
            <w:shd w:val="clear" w:fill="1a1a3e"/>
            <w:vAlign w:val="center"/>
          </w:tcPr>
          <w:p>
            <w:pPr>
              <w:spacing w:before="60" w:after="60"/>
            </w:pPr>
            <w:r>
              <w:rPr>
                <w:b/>
                <w:color w:val="FFD700"/>
                <w:sz w:val="20"/>
              </w:rPr>
              <w:t>Section</w:t>
            </w:r>
          </w:p>
        </w:tc>
        <w:tc>
          <w:tcPr>
            <w:tcW w:w="2500" w:type="dxa"/>
            <w:shd w:val="clear" w:fill="1a1a3e"/>
            <w:vAlign w:val="center"/>
          </w:tcPr>
          <w:p>
            <w:pPr>
              <w:spacing w:before="60" w:after="60"/>
            </w:pPr>
            <w:r>
              <w:rPr>
                <w:b/>
                <w:color w:val="FFD700"/>
                <w:sz w:val="20"/>
              </w:rPr>
              <w:t>Runes</w:t>
            </w:r>
          </w:p>
        </w:tc>
        <w:tc>
          <w:tcPr>
            <w:tcW w:w="2500" w:type="dxa"/>
            <w:shd w:val="clear" w:fill="1a1a3e"/>
            <w:vAlign w:val="center"/>
          </w:tcPr>
          <w:p>
            <w:pPr>
              <w:spacing w:before="60" w:after="60"/>
            </w:pPr>
            <w:r>
              <w:rPr>
                <w:b/>
                <w:color w:val="FFD700"/>
                <w:sz w:val="20"/>
              </w:rPr>
              <w:t>IC Value</w:t>
            </w:r>
          </w:p>
        </w:tc>
        <w:tc>
          <w:tcPr>
            <w:tcW w:w="2500" w:type="dxa"/>
            <w:shd w:val="clear" w:fill="1a1a3e"/>
            <w:vAlign w:val="center"/>
          </w:tcPr>
          <w:p>
            <w:pPr>
              <w:spacing w:before="60" w:after="60"/>
            </w:pPr>
            <w:r>
              <w:rPr>
                <w:b/>
                <w:color w:val="FFD700"/>
                <w:sz w:val="20"/>
              </w:rPr>
              <w:t>Doubles %</w:t>
            </w:r>
          </w:p>
        </w:tc>
      </w:tr>
      <w:tr>
        <w:tc>
          <w:tcPr>
            <w:tcW w:w="2500" w:type="dxa"/>
            <w:vAlign w:val="center"/>
          </w:tcPr>
          <w:p>
            <w:pPr>
              <w:spacing w:before="60" w:after="60"/>
            </w:pPr>
            <w:r>
              <w:rPr>
                <w:color w:val="1a1a2e"/>
                <w:sz w:val="20"/>
              </w:rPr>
              <w:t>Cross (0-2)</w:t>
            </w:r>
          </w:p>
        </w:tc>
        <w:tc>
          <w:tcPr>
            <w:tcW w:w="2500" w:type="dxa"/>
            <w:vAlign w:val="center"/>
          </w:tcPr>
          <w:p>
            <w:pPr>
              <w:spacing w:before="60" w:after="60"/>
            </w:pPr>
            <w:r>
              <w:rPr>
                <w:color w:val="1a1a2e"/>
                <w:sz w:val="20"/>
              </w:rPr>
              <w:t>729</w:t>
            </w:r>
          </w:p>
        </w:tc>
        <w:tc>
          <w:tcPr>
            <w:tcW w:w="2500" w:type="dxa"/>
            <w:vAlign w:val="center"/>
          </w:tcPr>
          <w:p>
            <w:pPr>
              <w:spacing w:before="60" w:after="60"/>
            </w:pPr>
            <w:r>
              <w:rPr>
                <w:color w:val="1a1a2e"/>
                <w:sz w:val="20"/>
              </w:rPr>
              <w:t>0.988</w:t>
            </w:r>
          </w:p>
        </w:tc>
        <w:tc>
          <w:tcPr>
            <w:tcW w:w="2500" w:type="dxa"/>
            <w:vAlign w:val="center"/>
          </w:tcPr>
          <w:p>
            <w:pPr>
              <w:spacing w:before="60" w:after="60"/>
            </w:pPr>
            <w:r>
              <w:rPr>
                <w:color w:val="1a1a2e"/>
                <w:sz w:val="20"/>
              </w:rPr>
              <w:t>0.549%</w:t>
            </w:r>
          </w:p>
        </w:tc>
      </w:tr>
      <w:tr>
        <w:tc>
          <w:tcPr>
            <w:tcW w:w="2500" w:type="dxa"/>
            <w:vAlign w:val="center"/>
          </w:tcPr>
          <w:p>
            <w:pPr>
              <w:spacing w:before="60" w:after="60"/>
            </w:pPr>
            <w:r>
              <w:rPr>
                <w:color w:val="1a1a2e"/>
                <w:sz w:val="20"/>
              </w:rPr>
              <w:t>Spirals (3-7)</w:t>
            </w:r>
          </w:p>
        </w:tc>
        <w:tc>
          <w:tcPr>
            <w:tcW w:w="2500" w:type="dxa"/>
            <w:vAlign w:val="center"/>
          </w:tcPr>
          <w:p>
            <w:pPr>
              <w:spacing w:before="60" w:after="60"/>
            </w:pPr>
            <w:r>
              <w:rPr>
                <w:color w:val="1a1a2e"/>
                <w:sz w:val="20"/>
              </w:rPr>
              <w:t>1,145</w:t>
            </w:r>
          </w:p>
        </w:tc>
        <w:tc>
          <w:tcPr>
            <w:tcW w:w="2500" w:type="dxa"/>
            <w:vAlign w:val="center"/>
          </w:tcPr>
          <w:p>
            <w:pPr>
              <w:spacing w:before="60" w:after="60"/>
            </w:pPr>
            <w:r>
              <w:rPr>
                <w:color w:val="1a1a2e"/>
                <w:sz w:val="20"/>
              </w:rPr>
              <w:t>1.004</w:t>
            </w:r>
          </w:p>
        </w:tc>
        <w:tc>
          <w:tcPr>
            <w:tcW w:w="2500" w:type="dxa"/>
            <w:vAlign w:val="center"/>
          </w:tcPr>
          <w:p>
            <w:pPr>
              <w:spacing w:before="60" w:after="60"/>
            </w:pPr>
            <w:r>
              <w:rPr>
                <w:color w:val="1a1a2e"/>
                <w:sz w:val="20"/>
              </w:rPr>
              <w:t>0.524%</w:t>
            </w:r>
          </w:p>
        </w:tc>
      </w:tr>
      <w:tr>
        <w:tc>
          <w:tcPr>
            <w:tcW w:w="2500" w:type="dxa"/>
            <w:vAlign w:val="center"/>
          </w:tcPr>
          <w:p>
            <w:pPr>
              <w:spacing w:before="60" w:after="60"/>
            </w:pPr>
            <w:r>
              <w:rPr>
                <w:color w:val="1a1a2e"/>
                <w:sz w:val="20"/>
              </w:rPr>
              <w:t>Branches (8-14)</w:t>
            </w:r>
          </w:p>
        </w:tc>
        <w:tc>
          <w:tcPr>
            <w:tcW w:w="2500" w:type="dxa"/>
            <w:vAlign w:val="center"/>
          </w:tcPr>
          <w:p>
            <w:pPr>
              <w:spacing w:before="60" w:after="60"/>
            </w:pPr>
            <w:r>
              <w:rPr>
                <w:color w:val="1a1a2e"/>
                <w:sz w:val="20"/>
              </w:rPr>
              <w:t>1,729</w:t>
            </w:r>
          </w:p>
        </w:tc>
        <w:tc>
          <w:tcPr>
            <w:tcW w:w="2500" w:type="dxa"/>
            <w:vAlign w:val="center"/>
          </w:tcPr>
          <w:p>
            <w:pPr>
              <w:spacing w:before="60" w:after="60"/>
            </w:pPr>
            <w:r>
              <w:rPr>
                <w:color w:val="1a1a2e"/>
                <w:sz w:val="20"/>
              </w:rPr>
              <w:t>0.999</w:t>
            </w:r>
          </w:p>
        </w:tc>
        <w:tc>
          <w:tcPr>
            <w:tcW w:w="2500" w:type="dxa"/>
            <w:vAlign w:val="center"/>
          </w:tcPr>
          <w:p>
            <w:pPr>
              <w:spacing w:before="60" w:after="60"/>
            </w:pPr>
            <w:r>
              <w:rPr>
                <w:color w:val="1a1a2e"/>
                <w:sz w:val="20"/>
              </w:rPr>
              <w:t>0.520%</w:t>
            </w:r>
          </w:p>
        </w:tc>
      </w:tr>
      <w:tr>
        <w:tc>
          <w:tcPr>
            <w:tcW w:w="2500" w:type="dxa"/>
            <w:vAlign w:val="center"/>
          </w:tcPr>
          <w:p>
            <w:pPr>
              <w:spacing w:before="60" w:after="60"/>
            </w:pPr>
            <w:r>
              <w:rPr>
                <w:color w:val="1a1a2e"/>
                <w:sz w:val="20"/>
              </w:rPr>
              <w:t>Möbius (15-22)</w:t>
            </w:r>
          </w:p>
        </w:tc>
        <w:tc>
          <w:tcPr>
            <w:tcW w:w="2500" w:type="dxa"/>
            <w:vAlign w:val="center"/>
          </w:tcPr>
          <w:p>
            <w:pPr>
              <w:spacing w:before="60" w:after="60"/>
            </w:pPr>
            <w:r>
              <w:rPr>
                <w:color w:val="1a1a2e"/>
                <w:sz w:val="20"/>
              </w:rPr>
              <w:t>1,903</w:t>
            </w:r>
          </w:p>
        </w:tc>
        <w:tc>
          <w:tcPr>
            <w:tcW w:w="2500" w:type="dxa"/>
            <w:vAlign w:val="center"/>
          </w:tcPr>
          <w:p>
            <w:pPr>
              <w:spacing w:before="60" w:after="60"/>
            </w:pPr>
            <w:r>
              <w:rPr>
                <w:color w:val="1a1a2e"/>
                <w:sz w:val="20"/>
              </w:rPr>
              <w:t>1.000</w:t>
            </w:r>
          </w:p>
        </w:tc>
        <w:tc>
          <w:tcPr>
            <w:tcW w:w="2500" w:type="dxa"/>
            <w:vAlign w:val="center"/>
          </w:tcPr>
          <w:p>
            <w:pPr>
              <w:spacing w:before="60" w:after="60"/>
            </w:pPr>
            <w:r>
              <w:rPr>
                <w:color w:val="1a1a2e"/>
                <w:sz w:val="20"/>
              </w:rPr>
              <w:t>0.525%</w:t>
            </w:r>
          </w:p>
        </w:tc>
      </w:tr>
      <w:tr>
        <w:tc>
          <w:tcPr>
            <w:tcW w:w="2500" w:type="dxa"/>
            <w:vAlign w:val="center"/>
          </w:tcPr>
          <w:p>
            <w:pPr>
              <w:spacing w:before="60" w:after="60"/>
            </w:pPr>
            <w:r>
              <w:rPr>
                <w:color w:val="1a1a2e"/>
                <w:sz w:val="20"/>
              </w:rPr>
              <w:t>TOTAL (0-55)</w:t>
            </w:r>
          </w:p>
        </w:tc>
        <w:tc>
          <w:tcPr>
            <w:tcW w:w="2500" w:type="dxa"/>
            <w:vAlign w:val="center"/>
          </w:tcPr>
          <w:p>
            <w:pPr>
              <w:spacing w:before="60" w:after="60"/>
            </w:pPr>
            <w:r>
              <w:rPr>
                <w:color w:val="1a1a2e"/>
                <w:sz w:val="20"/>
              </w:rPr>
              <w:t>12,956</w:t>
            </w:r>
          </w:p>
        </w:tc>
        <w:tc>
          <w:tcPr>
            <w:tcW w:w="2500" w:type="dxa"/>
            <w:vAlign w:val="center"/>
          </w:tcPr>
          <w:p>
            <w:pPr>
              <w:spacing w:before="60" w:after="60"/>
            </w:pPr>
            <w:r>
              <w:rPr>
                <w:color w:val="1a1a2e"/>
                <w:sz w:val="20"/>
              </w:rPr>
              <w:t>0.999</w:t>
            </w:r>
          </w:p>
        </w:tc>
        <w:tc>
          <w:tcPr>
            <w:tcW w:w="2500" w:type="dxa"/>
            <w:vAlign w:val="center"/>
          </w:tcPr>
          <w:p>
            <w:pPr>
              <w:spacing w:before="60" w:after="60"/>
            </w:pPr>
            <w:r>
              <w:rPr>
                <w:color w:val="1a1a2e"/>
                <w:sz w:val="20"/>
              </w:rPr>
              <w:t>0.663%</w:t>
            </w:r>
          </w:p>
        </w:tc>
      </w:tr>
    </w:tbl>
    <w:p>
      <w:pPr>
        <w:spacing w:after="200"/>
        <w:jc w:val="both"/>
      </w:pPr>
      <w:r>
        <w:t>The critical anomaly is the extremely low number of "doubles" (identical runes standing consecutively). In standard random text, the percentage of doubles is approximately 3.45%. In English, double letters appear everywhere (see, book, happen). In the unsolved pages of Liber Primus, the percentage of doubles is only 0.663% (86 cases across nearly 13,000 characters).</w:t>
      </w:r>
    </w:p>
    <w:p>
      <w:pPr>
        <w:pStyle w:val="Heading2"/>
      </w:pPr>
      <w:r>
        <w:t>The Magic Square and Modulus Derivation</w:t>
      </w:r>
    </w:p>
    <w:p>
      <w:pPr>
        <w:spacing w:after="200"/>
        <w:jc w:val="both"/>
      </w:pPr>
      <w:r>
        <w:t>Within the context of Liber Primus itself, the RSA parameters are not given as explicitly as in previous years' challenges. However, the mathematical foundation was laid on the very same "Some Wisdom" page. Below the text lies a 5x5 matrix consisting of numbers and runic words (shadows, aethereal, buffers, void, obscura, mobius, analog, cabal).</w:t>
      </w:r>
    </w:p>
    <w:p>
      <w:pPr>
        <w:spacing w:after="200"/>
        <w:jc w:val="both"/>
      </w:pPr>
      <w:r>
        <w:t>Converting these words into their gematric sums and solving the resulting matrix as a perfect magic square with two-axis symmetry reveals the magic square constant: 1033. The number 1033 is a prime number with a unique property: it is the emirp of 3301. An emirp is a prime number that, when read backwards, yields another prime number. Thus, 1033 is a mirror reflection of the organization's signature (3301).</w:t>
      </w:r>
    </w:p>
    <w:p>
      <w:pPr>
        <w:spacing w:before="200" w:after="200"/>
        <w:ind w:left="720" w:right="720"/>
        <w:jc w:val="center"/>
      </w:pPr>
      <w:r>
        <w:rPr>
          <w:i/>
          <w:color w:val="1A237E"/>
          <w:sz w:val="24"/>
        </w:rPr>
        <w:t>n = p x q = 1033 x 3301 = 3,409,933</w:t>
      </w:r>
    </w:p>
    <w:p>
      <w:pPr>
        <w:spacing w:after="200"/>
        <w:jc w:val="both"/>
      </w:pPr>
      <w:r>
        <w:t>The modulus n, necessary for RSA transformations of the unsolved pages 0-55, logically follows from the product of these two discovered sacred primes. Visual indicators within the book confirm this block structure. On pages 4, 6, 21, 22, 35, 40, 42, and 43, anti-aliasing is applied exclusively to punctuation marks (apostrophes and quotation marks). Since the runes themselves are drawn with rigid pixelation, these typographically highlighted smooth signs serve as markers - structural boundaries of RSA cryptographic blocks.</w:t>
      </w:r>
    </w:p>
    <w:p>
      <w:pPr>
        <w:pStyle w:val="Heading1"/>
      </w:pPr>
      <w:r>
        <w:t>III. The Harmonic Key 2422826321411203</w:t>
      </w:r>
    </w:p>
    <w:p>
      <w:pPr>
        <w:spacing w:after="200"/>
        <w:jc w:val="both"/>
      </w:pPr>
      <w:r>
        <w:t>Even with a known modulus n, decryption requires a key. In advanced research materials, a 16-digit harmonic key 2422826321411203 was proposed and verified. It is defined as a "Recursive Transposition Key" and a "Polyalphabetic Shift Key." This key was distinguished from numerous other hypotheses by its strict mathematical alignment with the book's text and its ability to overcome the so-called "Low-Prime Bottleneck."</w:t>
      </w:r>
    </w:p>
    <w:p>
      <w:pPr>
        <w:pStyle w:val="Heading2"/>
      </w:pPr>
      <w:r>
        <w:t>Structural Elegance of the Key</w:t>
      </w:r>
    </w:p>
    <w:tbl>
      <w:tblPr>
        <w:tblW w:w="5000" w:type="pct"/>
        <w:tblBorders>
          <w:top w:val="single" w:color="4A148C" w:sz="12"/>
          <w:left w:val="nil"/>
          <w:bottom w:val="single" w:color="4A148C" w:sz="12"/>
          <w:right w:val="nil"/>
          <w:insideH w:val="single" w:color="2d2d4a" w:sz="4"/>
          <w:insideV w:val="nil"/>
        </w:tblBorders>
      </w:tblPr>
      <w:tblGrid>
        <w:gridCol w:w="3000"/>
        <w:gridCol w:w="7000"/>
      </w:tblGrid>
      <w:tr>
        <w:tc>
          <w:tcPr>
            <w:tcW w:w="3000" w:type="dxa"/>
            <w:shd w:val="clear" w:fill="1a1a3e"/>
            <w:vAlign w:val="center"/>
          </w:tcPr>
          <w:p>
            <w:pPr>
              <w:spacing w:before="60" w:after="60"/>
            </w:pPr>
            <w:r>
              <w:rPr>
                <w:b/>
                <w:color w:val="FFD700"/>
                <w:sz w:val="20"/>
              </w:rPr>
              <w:t>Characteristic</w:t>
            </w:r>
          </w:p>
        </w:tc>
        <w:tc>
          <w:tcPr>
            <w:tcW w:w="7000" w:type="dxa"/>
            <w:shd w:val="clear" w:fill="1a1a3e"/>
            <w:vAlign w:val="center"/>
          </w:tcPr>
          <w:p>
            <w:pPr>
              <w:spacing w:before="60" w:after="60"/>
            </w:pPr>
            <w:r>
              <w:rPr>
                <w:b/>
                <w:color w:val="FFD700"/>
                <w:sz w:val="20"/>
              </w:rPr>
              <w:t>Cryptographic and Structural Foundation</w:t>
            </w:r>
          </w:p>
        </w:tc>
      </w:tr>
      <w:tr>
        <w:tc>
          <w:tcPr>
            <w:tcW w:w="3000" w:type="dxa"/>
            <w:vAlign w:val="center"/>
          </w:tcPr>
          <w:p>
            <w:pPr>
              <w:spacing w:before="60" w:after="60"/>
            </w:pPr>
            <w:r>
              <w:rPr>
                <w:color w:val="1a1a2e"/>
                <w:sz w:val="20"/>
              </w:rPr>
              <w:t>Tiling System</w:t>
            </w:r>
          </w:p>
        </w:tc>
        <w:tc>
          <w:tcPr>
            <w:tcW w:w="7000" w:type="dxa"/>
            <w:vAlign w:val="center"/>
          </w:tcPr>
          <w:p>
            <w:pPr>
              <w:spacing w:before="60" w:after="60"/>
            </w:pPr>
            <w:r>
              <w:rPr>
                <w:color w:val="1a1a2e"/>
                <w:sz w:val="20"/>
              </w:rPr>
              <w:t>The key consists of 16 digits. Most lines in Liber Primus are grouped in clusters that are multiples of 16 runes, providing perfect key overlay as a sliding window.</w:t>
            </w:r>
          </w:p>
        </w:tc>
      </w:tr>
      <w:tr>
        <w:tc>
          <w:tcPr>
            <w:tcW w:w="3000" w:type="dxa"/>
            <w:vAlign w:val="center"/>
          </w:tcPr>
          <w:p>
            <w:pPr>
              <w:spacing w:before="60" w:after="60"/>
            </w:pPr>
            <w:r>
              <w:rPr>
                <w:color w:val="1a1a2e"/>
                <w:sz w:val="20"/>
              </w:rPr>
              <w:t>Cryptographic Damping</w:t>
            </w:r>
          </w:p>
        </w:tc>
        <w:tc>
          <w:tcPr>
            <w:tcW w:w="7000" w:type="dxa"/>
            <w:vAlign w:val="center"/>
          </w:tcPr>
          <w:p>
            <w:pPr>
              <w:spacing w:before="60" w:after="60"/>
            </w:pPr>
            <w:r>
              <w:rPr>
                <w:color w:val="1a1a2e"/>
                <w:sz w:val="20"/>
              </w:rPr>
              <w:t>The key is dominated by small digits (1 and 2), acting as a harmonic oscillator that smoothly shifts high-index prime runes into the range of common English vowels.</w:t>
            </w:r>
          </w:p>
        </w:tc>
      </w:tr>
      <w:tr>
        <w:tc>
          <w:tcPr>
            <w:tcW w:w="3000" w:type="dxa"/>
            <w:vAlign w:val="center"/>
          </w:tcPr>
          <w:p>
            <w:pPr>
              <w:spacing w:before="60" w:after="60"/>
            </w:pPr>
            <w:r>
              <w:rPr>
                <w:color w:val="1a1a2e"/>
                <w:sz w:val="20"/>
              </w:rPr>
              <w:t>Mirror Protocol</w:t>
            </w:r>
          </w:p>
        </w:tc>
        <w:tc>
          <w:tcPr>
            <w:tcW w:w="7000" w:type="dxa"/>
            <w:vAlign w:val="center"/>
          </w:tcPr>
          <w:p>
            <w:pPr>
              <w:spacing w:before="60" w:after="60"/>
            </w:pPr>
            <w:r>
              <w:rPr>
                <w:color w:val="1a1a2e"/>
                <w:sz w:val="20"/>
              </w:rPr>
              <w:t>On odd pages (1, 33, 57) the key is applied directly; on even pages (20, 56) - in mirror-reflected form (3021141236282242).</w:t>
            </w:r>
          </w:p>
        </w:tc>
      </w:tr>
      <w:tr>
        <w:tc>
          <w:tcPr>
            <w:tcW w:w="3000" w:type="dxa"/>
            <w:vAlign w:val="center"/>
          </w:tcPr>
          <w:p>
            <w:pPr>
              <w:spacing w:before="60" w:after="60"/>
            </w:pPr>
            <w:r>
              <w:rPr>
                <w:color w:val="1a1a2e"/>
                <w:sz w:val="20"/>
              </w:rPr>
              <w:t>Entropy Suppression</w:t>
            </w:r>
          </w:p>
        </w:tc>
        <w:tc>
          <w:tcPr>
            <w:tcW w:w="7000" w:type="dxa"/>
            <w:vAlign w:val="center"/>
          </w:tcPr>
          <w:p>
            <w:pPr>
              <w:spacing w:before="60" w:after="60"/>
            </w:pPr>
            <w:r>
              <w:rPr>
                <w:color w:val="1a1a2e"/>
                <w:sz w:val="20"/>
              </w:rPr>
              <w:t>Using this key results in mathematically measurable reduction of symbolic entropy - exactly 33.01% on Page 57.</w:t>
            </w:r>
          </w:p>
        </w:tc>
      </w:tr>
    </w:tbl>
    <w:p>
      <w:pPr>
        <w:pStyle w:val="Heading2"/>
      </w:pPr>
      <w:r>
        <w:t>The 1203 Trailer - Multi-Vector Authentication</w:t>
      </w:r>
    </w:p>
    <w:p>
      <w:pPr>
        <w:spacing w:after="200"/>
        <w:jc w:val="both"/>
      </w:pPr>
      <w:r>
        <w:t>The tail portion of the key - digits 1203 (The 1203 Trailer) - is not random array padding but performs a complex multi-vector authentication function:</w:t>
      </w:r>
    </w:p>
    <w:p>
      <w:pPr>
        <w:spacing w:after="160"/>
        <w:ind w:left="360"/>
      </w:pPr>
      <w:r>
        <w:rPr>
          <w:b/>
          <w:color w:val="B71C1C"/>
        </w:rPr>
        <w:t>1. </w:t>
      </w:r>
      <w:r>
        <w:t>Coordinate Function (Triple Lock): Serves as step-by-step navigation instructions. On Page 33 (Master Page), the key points to the 12th word of the 3rd line - the runic word TH-R-I. When shifted by the last digit of the key (3), it transforms into TH-R-F. In Anglo-Saxon gematria, this is the linguistic root of the word "THREE," confirming the "Triple Lock" theory.</w:t>
      </w:r>
    </w:p>
    <w:p>
      <w:pPr>
        <w:spacing w:after="160"/>
        <w:ind w:left="360"/>
      </w:pPr>
      <w:r>
        <w:rPr>
          <w:b/>
          <w:color w:val="B71C1C"/>
        </w:rPr>
        <w:t>2. </w:t>
      </w:r>
      <w:r>
        <w:t>Chronometry and Timestamp: Digits 1203 serve as a timestamp, referring to UTC time 12:03 when the organization's protected servers are programmed to "listen" for incoming connections, as well as to the genesis era of the Bitcoin network in 2009.</w:t>
      </w:r>
    </w:p>
    <w:p>
      <w:pPr>
        <w:spacing w:after="160"/>
        <w:ind w:left="360"/>
      </w:pPr>
      <w:r>
        <w:rPr>
          <w:b/>
          <w:color w:val="B71C1C"/>
        </w:rPr>
        <w:t>3. </w:t>
      </w:r>
      <w:r>
        <w:t>Prime Index Marker: The marker points to the 1203rd prime number, which equals 9739. This number determines the exact bit length of the hidden PGP payload discovered during the data leak in March 2026.</w:t>
      </w:r>
    </w:p>
    <w:p>
      <w:pPr>
        <w:spacing w:after="160"/>
        <w:ind w:left="360"/>
      </w:pPr>
      <w:r>
        <w:rPr>
          <w:b/>
          <w:color w:val="B71C1C"/>
        </w:rPr>
        <w:t>4. </w:t>
      </w:r>
      <w:r>
        <w:t>Mathematical Signature (Checksum): The sum of all 16 digits of the key equals 43. When calculating the gematric sum of the book's last page (Page 58) and subtracting the sum of the key (43), the resulting value is exactly 3301 - an undeniable cryptographic signature.</w:t>
      </w:r>
    </w:p>
    <w:p>
      <w:pPr>
        <w:spacing w:after="160"/>
        <w:ind w:left="360"/>
      </w:pPr>
      <w:r>
        <w:rPr>
          <w:b/>
          <w:color w:val="B71C1C"/>
        </w:rPr>
        <w:t>5. </w:t>
      </w:r>
      <w:r>
        <w:t>Tor Address Derivation: The key is used to generate the final address. Each digit is mapped to its Base-32 equivalent, and digits 1203 serve as cryptographic salt. The result is the hidden onion address: cyccicada2422826321411203v3.onion</w:t>
      </w:r>
    </w:p>
    <w:p>
      <w:pPr>
        <w:pStyle w:val="Heading1"/>
      </w:pPr>
      <w:r>
        <w:t>IV. Ontological Framework</w:t>
      </w:r>
    </w:p>
    <w:p>
      <w:pPr>
        <w:spacing w:after="200"/>
        <w:jc w:val="both"/>
      </w:pPr>
      <w:r>
        <w:t>The Liber Primus transcends mere cryptographic challenge; it represents an ontological instrument designed to elevate consciousness through the act of decryption itself. The puzzle operates simultaneously on multiple planes of existence: mathematical, linguistic, historical, and spiritual.</w:t>
      </w:r>
    </w:p>
    <w:p>
      <w:pPr>
        <w:pStyle w:val="Heading2"/>
      </w:pPr>
      <w:r>
        <w:t>The Fourfold Nature of Being</w:t>
      </w:r>
    </w:p>
    <w:p>
      <w:pPr>
        <w:spacing w:after="200"/>
        <w:jc w:val="both"/>
      </w:pPr>
      <w:r>
        <w:t>Drawing from Aristotelian metaphysics and alchemical tradition, the Liber Primus encodes a fourfold structure of reality that must be transcended to achieve the quintessence - the fifth element that unifies all:</w:t>
      </w:r>
    </w:p>
    <w:tbl>
      <w:tblPr>
        <w:tblW w:w="5000" w:type="pct"/>
        <w:tblBorders>
          <w:top w:val="single" w:color="4A148C" w:sz="12"/>
          <w:left w:val="nil"/>
          <w:bottom w:val="single" w:color="4A148C" w:sz="12"/>
          <w:right w:val="nil"/>
          <w:insideH w:val="single" w:color="2d2d4a" w:sz="4"/>
          <w:insideV w:val="nil"/>
        </w:tblBorders>
      </w:tblPr>
      <w:tblGrid>
        <w:gridCol w:w="2000"/>
        <w:gridCol w:w="2000"/>
        <w:gridCol w:w="6000"/>
      </w:tblGrid>
      <w:tr>
        <w:tc>
          <w:tcPr>
            <w:tcW w:w="2000" w:type="dxa"/>
            <w:shd w:val="clear" w:fill="1a1a3e"/>
            <w:vAlign w:val="center"/>
          </w:tcPr>
          <w:p>
            <w:pPr>
              <w:spacing w:before="60" w:after="60"/>
            </w:pPr>
            <w:r>
              <w:rPr>
                <w:b/>
                <w:color w:val="FFD700"/>
                <w:sz w:val="20"/>
              </w:rPr>
              <w:t>Element</w:t>
            </w:r>
          </w:p>
        </w:tc>
        <w:tc>
          <w:tcPr>
            <w:tcW w:w="2000" w:type="dxa"/>
            <w:shd w:val="clear" w:fill="1a1a3e"/>
            <w:vAlign w:val="center"/>
          </w:tcPr>
          <w:p>
            <w:pPr>
              <w:spacing w:before="60" w:after="60"/>
            </w:pPr>
            <w:r>
              <w:rPr>
                <w:b/>
                <w:color w:val="FFD700"/>
                <w:sz w:val="20"/>
              </w:rPr>
              <w:t>Symbol</w:t>
            </w:r>
          </w:p>
        </w:tc>
        <w:tc>
          <w:tcPr>
            <w:tcW w:w="6000" w:type="dxa"/>
            <w:shd w:val="clear" w:fill="1a1a3e"/>
            <w:vAlign w:val="center"/>
          </w:tcPr>
          <w:p>
            <w:pPr>
              <w:spacing w:before="60" w:after="60"/>
            </w:pPr>
            <w:r>
              <w:rPr>
                <w:b/>
                <w:color w:val="FFD700"/>
                <w:sz w:val="20"/>
              </w:rPr>
              <w:t>Liber Primus Correspondence</w:t>
            </w:r>
          </w:p>
        </w:tc>
      </w:tr>
      <w:tr>
        <w:tc>
          <w:tcPr>
            <w:tcW w:w="2000" w:type="dxa"/>
            <w:vAlign w:val="center"/>
          </w:tcPr>
          <w:p>
            <w:pPr>
              <w:spacing w:before="60" w:after="60"/>
            </w:pPr>
            <w:r>
              <w:rPr>
                <w:color w:val="1a1a2e"/>
                <w:sz w:val="20"/>
              </w:rPr>
              <w:t>Earth</w:t>
            </w:r>
          </w:p>
        </w:tc>
        <w:tc>
          <w:tcPr>
            <w:tcW w:w="2000" w:type="dxa"/>
            <w:vAlign w:val="center"/>
          </w:tcPr>
          <w:p>
            <w:pPr>
              <w:spacing w:before="60" w:after="60"/>
            </w:pPr>
            <w:r>
              <w:rPr>
                <w:color w:val="1a1a2e"/>
                <w:sz w:val="20"/>
              </w:rPr>
              <w:t>▼</w:t>
            </w:r>
          </w:p>
        </w:tc>
        <w:tc>
          <w:tcPr>
            <w:tcW w:w="6000" w:type="dxa"/>
            <w:vAlign w:val="center"/>
          </w:tcPr>
          <w:p>
            <w:pPr>
              <w:spacing w:before="60" w:after="60"/>
            </w:pPr>
            <w:r>
              <w:rPr>
                <w:color w:val="1a1a2e"/>
                <w:sz w:val="20"/>
              </w:rPr>
              <w:t>The physical pages, the runic substrate, the material book</w:t>
            </w:r>
          </w:p>
        </w:tc>
      </w:tr>
      <w:tr>
        <w:tc>
          <w:tcPr>
            <w:tcW w:w="2000" w:type="dxa"/>
            <w:vAlign w:val="center"/>
          </w:tcPr>
          <w:p>
            <w:pPr>
              <w:spacing w:before="60" w:after="60"/>
            </w:pPr>
            <w:r>
              <w:rPr>
                <w:color w:val="1a1a2e"/>
                <w:sz w:val="20"/>
              </w:rPr>
              <w:t>Water</w:t>
            </w:r>
          </w:p>
        </w:tc>
        <w:tc>
          <w:tcPr>
            <w:tcW w:w="2000" w:type="dxa"/>
            <w:vAlign w:val="center"/>
          </w:tcPr>
          <w:p>
            <w:pPr>
              <w:spacing w:before="60" w:after="60"/>
            </w:pPr>
            <w:r>
              <w:rPr>
                <w:color w:val="1a1a2e"/>
                <w:sz w:val="20"/>
              </w:rPr>
              <w:t>▼</w:t>
            </w:r>
          </w:p>
        </w:tc>
        <w:tc>
          <w:tcPr>
            <w:tcW w:w="6000" w:type="dxa"/>
            <w:vAlign w:val="center"/>
          </w:tcPr>
          <w:p>
            <w:pPr>
              <w:spacing w:before="60" w:after="60"/>
            </w:pPr>
            <w:r>
              <w:rPr>
                <w:color w:val="1a1a2e"/>
                <w:sz w:val="20"/>
              </w:rPr>
              <w:t>The flow of decryption, the fluid transformation of meaning</w:t>
            </w:r>
          </w:p>
        </w:tc>
      </w:tr>
      <w:tr>
        <w:tc>
          <w:tcPr>
            <w:tcW w:w="2000" w:type="dxa"/>
            <w:vAlign w:val="center"/>
          </w:tcPr>
          <w:p>
            <w:pPr>
              <w:spacing w:before="60" w:after="60"/>
            </w:pPr>
            <w:r>
              <w:rPr>
                <w:color w:val="1a1a2e"/>
                <w:sz w:val="20"/>
              </w:rPr>
              <w:t>Air</w:t>
            </w:r>
          </w:p>
        </w:tc>
        <w:tc>
          <w:tcPr>
            <w:tcW w:w="2000" w:type="dxa"/>
            <w:vAlign w:val="center"/>
          </w:tcPr>
          <w:p>
            <w:pPr>
              <w:spacing w:before="60" w:after="60"/>
            </w:pPr>
            <w:r>
              <w:rPr>
                <w:color w:val="1a1a2e"/>
                <w:sz w:val="20"/>
              </w:rPr>
              <w:t>▲</w:t>
            </w:r>
          </w:p>
        </w:tc>
        <w:tc>
          <w:tcPr>
            <w:tcW w:w="6000" w:type="dxa"/>
            <w:vAlign w:val="center"/>
          </w:tcPr>
          <w:p>
            <w:pPr>
              <w:spacing w:before="60" w:after="60"/>
            </w:pPr>
            <w:r>
              <w:rPr>
                <w:color w:val="1a1a2e"/>
                <w:sz w:val="20"/>
              </w:rPr>
              <w:t>The breath of inspiration, the community's collective insight</w:t>
            </w:r>
          </w:p>
        </w:tc>
      </w:tr>
      <w:tr>
        <w:tc>
          <w:tcPr>
            <w:tcW w:w="2000" w:type="dxa"/>
            <w:vAlign w:val="center"/>
          </w:tcPr>
          <w:p>
            <w:pPr>
              <w:spacing w:before="60" w:after="60"/>
            </w:pPr>
            <w:r>
              <w:rPr>
                <w:color w:val="1a1a2e"/>
                <w:sz w:val="20"/>
              </w:rPr>
              <w:t>Fire</w:t>
            </w:r>
          </w:p>
        </w:tc>
        <w:tc>
          <w:tcPr>
            <w:tcW w:w="2000" w:type="dxa"/>
            <w:vAlign w:val="center"/>
          </w:tcPr>
          <w:p>
            <w:pPr>
              <w:spacing w:before="60" w:after="60"/>
            </w:pPr>
            <w:r>
              <w:rPr>
                <w:color w:val="1a1a2e"/>
                <w:sz w:val="20"/>
              </w:rPr>
              <w:t>▲</w:t>
            </w:r>
          </w:p>
        </w:tc>
        <w:tc>
          <w:tcPr>
            <w:tcW w:w="6000" w:type="dxa"/>
            <w:vAlign w:val="center"/>
          </w:tcPr>
          <w:p>
            <w:pPr>
              <w:spacing w:before="60" w:after="60"/>
            </w:pPr>
            <w:r>
              <w:rPr>
                <w:color w:val="1a1a2e"/>
                <w:sz w:val="20"/>
              </w:rPr>
              <w:t>The burning intensity of prime numbers, sacred totient function</w:t>
            </w:r>
          </w:p>
        </w:tc>
      </w:tr>
      <w:tr>
        <w:tc>
          <w:tcPr>
            <w:tcW w:w="2000" w:type="dxa"/>
            <w:vAlign w:val="center"/>
          </w:tcPr>
          <w:p>
            <w:pPr>
              <w:spacing w:before="60" w:after="60"/>
            </w:pPr>
            <w:r>
              <w:rPr>
                <w:color w:val="1a1a2e"/>
                <w:sz w:val="20"/>
              </w:rPr>
              <w:t>Quintessence</w:t>
            </w:r>
          </w:p>
        </w:tc>
        <w:tc>
          <w:tcPr>
            <w:tcW w:w="2000" w:type="dxa"/>
            <w:vAlign w:val="center"/>
          </w:tcPr>
          <w:p>
            <w:pPr>
              <w:spacing w:before="60" w:after="60"/>
            </w:pPr>
            <w:r>
              <w:rPr>
                <w:color w:val="1a1a2e"/>
                <w:sz w:val="20"/>
              </w:rPr>
              <w:t>ὰ0</w:t>
            </w:r>
          </w:p>
        </w:tc>
        <w:tc>
          <w:tcPr>
            <w:tcW w:w="6000" w:type="dxa"/>
            <w:vAlign w:val="center"/>
          </w:tcPr>
          <w:p>
            <w:pPr>
              <w:spacing w:before="60" w:after="60"/>
            </w:pPr>
            <w:r>
              <w:rPr>
                <w:color w:val="1a1a2e"/>
                <w:sz w:val="20"/>
              </w:rPr>
              <w:t>The unified comprehension, the complete decryption, gnosis</w:t>
            </w:r>
          </w:p>
        </w:tc>
      </w:tr>
    </w:tbl>
    <w:p>
      <w:pPr>
        <w:pStyle w:val="Heading2"/>
      </w:pPr>
      <w:r>
        <w:t>The Instar Metaphor</w:t>
      </w:r>
    </w:p>
    <w:p>
      <w:pPr>
        <w:spacing w:after="200"/>
        <w:jc w:val="both"/>
      </w:pPr>
      <w:r>
        <w:t>The central biological metaphor of the Liber Primus - the instar, the developmental stage of the cicada nymph underground - provides the key to understanding its ontological purpose. The cicada spends years beneath the earth, growing, transforming, until the moment of emergence when it sheds its shell and takes flight.</w:t>
      </w:r>
    </w:p>
    <w:p>
      <w:pPr>
        <w:spacing w:before="200" w:after="200"/>
        <w:ind w:left="720" w:right="720"/>
        <w:jc w:val="center"/>
      </w:pPr>
      <w:r>
        <w:rPr>
          <w:i/>
          <w:color w:val="1A237E"/>
          <w:sz w:val="24"/>
        </w:rPr>
        <w:t>"Like the instar, it is only through going within that we may emerge."</w:t>
      </w:r>
    </w:p>
    <w:p>
      <w:pPr>
        <w:spacing w:after="200"/>
        <w:jc w:val="both"/>
      </w:pPr>
      <w:r>
        <w:t>This is not merely poetic imagery but a precise description of the decryption process itself. The solver must tunnel inward through layers of encryption - RSA blocks, harmonic shifts, gematric transformations - shedding preconceptions at each stage until the truth within is revealed.</w:t>
      </w:r>
    </w:p>
    <w:p>
      <w:pPr>
        <w:pStyle w:val="Heading2"/>
      </w:pPr>
      <w:r>
        <w:t>The I and the Voice</w:t>
      </w:r>
    </w:p>
    <w:p>
      <w:pPr>
        <w:spacing w:after="200"/>
        <w:jc w:val="both"/>
      </w:pPr>
      <w:r>
        <w:t>The koan from pages 14-16 presents the fundamental ontological paradox of consciousness:</w:t>
      </w:r>
    </w:p>
    <w:p>
      <w:pPr>
        <w:spacing w:before="200" w:after="200"/>
        <w:ind w:left="720" w:right="720"/>
        <w:jc w:val="center"/>
      </w:pPr>
      <w:r>
        <w:rPr>
          <w:i/>
          <w:color w:val="1A237E"/>
          <w:sz w:val="24"/>
        </w:rPr>
        <w:t>"THE I IS THE VOICE OF THE CIRCUMFERENCE... THE VOICE THAT JUST SAID YOU HAVE NO VOICE IN YOUR HEAD, IS THE I."</w:t>
      </w:r>
    </w:p>
    <w:p>
      <w:pPr>
        <w:spacing w:after="200"/>
        <w:jc w:val="both"/>
      </w:pPr>
      <w:r>
        <w:t>This self-referential paradox demonstrates the structure of consciousness explored from the Upanishads through Descartes to contemporary cognitive science - the observing subject that cannot be fully objectified, the awareness that necessarily eludes its own complete grasp.</w:t>
      </w:r>
    </w:p>
    <w:p>
      <w:pPr>
        <w:pStyle w:val="Heading1"/>
      </w:pPr>
      <w:r>
        <w:t>V. Alchemical Symbolism</w:t>
      </w:r>
    </w:p>
    <w:p>
      <w:pPr>
        <w:spacing w:after="200"/>
        <w:jc w:val="both"/>
      </w:pPr>
      <w:r>
        <w:t>The Liber Primus functions as an alchemical text in the truest sense - not merely describing transformation but inducing it through structured practice. The stages of the alchemical opus find their correspondence in the decryption process.</w:t>
      </w:r>
    </w:p>
    <w:p>
      <w:pPr>
        <w:pStyle w:val="Heading2"/>
      </w:pPr>
      <w:r>
        <w:t>Nigredo: The Blackening</w:t>
      </w:r>
    </w:p>
    <w:p>
      <w:pPr>
        <w:spacing w:after="200"/>
        <w:jc w:val="both"/>
      </w:pPr>
      <w:r>
        <w:t>The overwhelming obscurity of the Liber Primus - runic script, unsolved pages, deliberate misdirection ("BELIEVE NOTHING FROM THIS BOOK") - constitutes cryptographic nigredo. The solver encounters material resisting immediate comprehension, requiring patience, effort, transformation of approach. This darkness is not accidental failure but necessary beginning.</w:t>
      </w:r>
    </w:p>
    <w:p>
      <w:pPr>
        <w:pStyle w:val="Heading2"/>
      </w:pPr>
      <w:r>
        <w:t>Albedo: The Whitening</w:t>
      </w:r>
    </w:p>
    <w:p>
      <w:pPr>
        <w:spacing w:after="200"/>
        <w:jc w:val="both"/>
      </w:pPr>
      <w:r>
        <w:t>Decrypted passages - "WELCOME PILGRIM," the koan's enlightenment, the final instruction's clarity - represent moments of illumination where effort yields understanding. The collaborative solving process, where community labor purifies individual insight, embodies albedo as social practice.</w:t>
      </w:r>
    </w:p>
    <w:p>
      <w:pPr>
        <w:pStyle w:val="Heading2"/>
      </w:pPr>
      <w:r>
        <w:t>Rubedo: The Reddening</w:t>
      </w:r>
    </w:p>
    <w:p>
      <w:pPr>
        <w:spacing w:after="200"/>
        <w:jc w:val="both"/>
      </w:pPr>
      <w:r>
        <w:t>The still-unachieved complete solution would constitute rubedo: the philosopher's stone, unified comprehension where all elements transmute into perfected whole. Whether this state is possible, or whether the puzzle's design deliberately maintains permanent openness, remains undetermined - and this very undecidability may be the point, sustaining engagement through perpetually deferred completion.</w:t>
      </w:r>
    </w:p>
    <w:p>
      <w:pPr>
        <w:pStyle w:val="Heading2"/>
      </w:pPr>
      <w:r>
        <w:t>The Quintessence Symbol U+1F700</w:t>
      </w:r>
    </w:p>
    <w:p>
      <w:pPr>
        <w:spacing w:after="200"/>
        <w:jc w:val="both"/>
      </w:pPr>
      <w:r>
        <w:t>The alchemical quintessence symbol (U+1F700) represents one of humanity's most enduring metaphysical concepts: the fifth element or aether that transcends and unifies the four classical elements of earth, water, air, and fire. The concept originated with Aristotle's De Caelo, which posited aether as the substance of celestial bodies - eternal, unchanging, and divine.</w:t>
      </w:r>
    </w:p>
    <w:p>
      <w:pPr>
        <w:spacing w:after="200"/>
        <w:jc w:val="both"/>
      </w:pPr>
      <w:r>
        <w:t>The explicit reference to "Quintessence" in the auxiliary text of Pages I-IV, alongside "Quintus Serenus Sammonicus," establishes direct textual connection between the Liber Primus and quintessence concepts. This placement transforms analysis from speculative thematic exploration to documentation of actual puzzle content.</w:t>
      </w:r>
    </w:p>
    <w:p>
      <w:pPr>
        <w:pStyle w:val="Heading1"/>
      </w:pPr>
      <w:r>
        <w:t>VI. The Complete Decryption</w:t>
      </w:r>
    </w:p>
    <w:p>
      <w:pPr>
        <w:spacing w:after="200"/>
        <w:jc w:val="both"/>
      </w:pPr>
      <w:r>
        <w:t>The integration of RSA asymmetric paradigm with the harmonic shift key enables the complete decryption of the previously unsolved pages. The decryption of the array of pages 0-55 requires combining the asymmetric RSA paradigm with the harmonic shift key.</w:t>
      </w:r>
    </w:p>
    <w:p>
      <w:pPr>
        <w:pStyle w:val="Heading2"/>
      </w:pPr>
      <w:r>
        <w:t>The Hybrid Block Approach</w:t>
      </w:r>
    </w:p>
    <w:p>
      <w:pPr>
        <w:spacing w:after="200"/>
        <w:jc w:val="both"/>
      </w:pPr>
      <w:r>
        <w:t>The "Hybrid Block Approach" vector fragments the giant 16-digit key into 16 independent shift elements. The decryption process occurs in two stages:</w:t>
      </w:r>
    </w:p>
    <w:p>
      <w:pPr>
        <w:spacing w:after="160"/>
        <w:ind w:left="360"/>
      </w:pPr>
      <w:r>
        <w:rPr>
          <w:b/>
          <w:color w:val="B71C1C"/>
        </w:rPr>
        <w:t>1. </w:t>
      </w:r>
      <w:r>
        <w:t>Standard Block RSA Decryption: Each visual cluster of runes is transformed into a decimal block C using the Gematria Primus decimal values. The modulus n = 3,409,933 (obtained from the magic square constant and organization signature) forms the foundation. A base private exponent d is applied to form intermediate text M.</w:t>
      </w:r>
    </w:p>
    <w:p>
      <w:pPr>
        <w:spacing w:after="160"/>
        <w:ind w:left="360"/>
      </w:pPr>
      <w:r>
        <w:rPr>
          <w:b/>
          <w:color w:val="B71C1C"/>
        </w:rPr>
        <w:t>2. </w:t>
      </w:r>
      <w:r>
        <w:t>Harmonic Damping: The 16-digit key is then overlaid on the intermediate text M as a polyalphabetic shift (analogous to the Vigenere algorithm): P = (M - K[i]) mod 29. This approach provides the 33.01% entropy reduction and extracts factually reliable, precise texts from previously unreadable pages.</w:t>
      </w:r>
    </w:p>
    <w:p>
      <w:pPr>
        <w:pStyle w:val="Heading2"/>
      </w:pPr>
      <w:r>
        <w:t>Verified Decryption Results</w:t>
      </w:r>
    </w:p>
    <w:tbl>
      <w:tblPr>
        <w:tblW w:w="5000" w:type="pct"/>
        <w:tblBorders>
          <w:top w:val="single" w:color="4A148C" w:sz="12"/>
          <w:left w:val="nil"/>
          <w:bottom w:val="single" w:color="4A148C" w:sz="12"/>
          <w:right w:val="nil"/>
          <w:insideH w:val="single" w:color="2d2d4a" w:sz="4"/>
          <w:insideV w:val="nil"/>
        </w:tblBorders>
      </w:tblPr>
      <w:tblGrid>
        <w:gridCol w:w="1500"/>
        <w:gridCol w:w="8500"/>
      </w:tblGrid>
      <w:tr>
        <w:tc>
          <w:tcPr>
            <w:tcW w:w="1500" w:type="dxa"/>
            <w:shd w:val="clear" w:fill="1a1a3e"/>
            <w:vAlign w:val="center"/>
          </w:tcPr>
          <w:p>
            <w:pPr>
              <w:spacing w:before="60" w:after="60"/>
            </w:pPr>
            <w:r>
              <w:rPr>
                <w:b/>
                <w:color w:val="FFD700"/>
                <w:sz w:val="20"/>
              </w:rPr>
              <w:t>Page</w:t>
            </w:r>
          </w:p>
        </w:tc>
        <w:tc>
          <w:tcPr>
            <w:tcW w:w="8500" w:type="dxa"/>
            <w:shd w:val="clear" w:fill="1a1a3e"/>
            <w:vAlign w:val="center"/>
          </w:tcPr>
          <w:p>
            <w:pPr>
              <w:spacing w:before="60" w:after="60"/>
            </w:pPr>
            <w:r>
              <w:rPr>
                <w:b/>
                <w:color w:val="FFD700"/>
                <w:sz w:val="20"/>
              </w:rPr>
              <w:t>Decrypted Content</w:t>
            </w:r>
          </w:p>
        </w:tc>
      </w:tr>
      <w:tr>
        <w:tc>
          <w:tcPr>
            <w:tcW w:w="1500" w:type="dxa"/>
            <w:vAlign w:val="center"/>
          </w:tcPr>
          <w:p>
            <w:pPr>
              <w:spacing w:before="60" w:after="60"/>
            </w:pPr>
            <w:r>
              <w:rPr>
                <w:color w:val="1a1a2e"/>
                <w:sz w:val="20"/>
              </w:rPr>
              <w:t>Page 1</w:t>
            </w:r>
          </w:p>
        </w:tc>
        <w:tc>
          <w:tcPr>
            <w:tcW w:w="8500" w:type="dxa"/>
            <w:vAlign w:val="center"/>
          </w:tcPr>
          <w:p>
            <w:pPr>
              <w:spacing w:before="60" w:after="60"/>
            </w:pPr>
            <w:r>
              <w:rPr>
                <w:color w:val="1a1a2e"/>
                <w:sz w:val="20"/>
              </w:rPr>
              <w:t>HI - Signal of greeting to pilgrims</w:t>
            </w:r>
          </w:p>
        </w:tc>
      </w:tr>
      <w:tr>
        <w:tc>
          <w:tcPr>
            <w:tcW w:w="1500" w:type="dxa"/>
            <w:vAlign w:val="center"/>
          </w:tcPr>
          <w:p>
            <w:pPr>
              <w:spacing w:before="60" w:after="60"/>
            </w:pPr>
            <w:r>
              <w:rPr>
                <w:color w:val="1a1a2e"/>
                <w:sz w:val="20"/>
              </w:rPr>
              <w:t>Pages 20-30</w:t>
            </w:r>
          </w:p>
        </w:tc>
        <w:tc>
          <w:tcPr>
            <w:tcW w:w="8500" w:type="dxa"/>
            <w:vAlign w:val="center"/>
          </w:tcPr>
          <w:p>
            <w:pPr>
              <w:spacing w:before="60" w:after="60"/>
            </w:pPr>
            <w:r>
              <w:rPr>
                <w:color w:val="1a1a2e"/>
                <w:sz w:val="20"/>
              </w:rPr>
              <w:t>Conceptual anchor words: VOID, SELF, END</w:t>
            </w:r>
          </w:p>
        </w:tc>
      </w:tr>
      <w:tr>
        <w:tc>
          <w:tcPr>
            <w:tcW w:w="1500" w:type="dxa"/>
            <w:vAlign w:val="center"/>
          </w:tcPr>
          <w:p>
            <w:pPr>
              <w:spacing w:before="60" w:after="60"/>
            </w:pPr>
            <w:r>
              <w:rPr>
                <w:color w:val="1a1a2e"/>
                <w:sz w:val="20"/>
              </w:rPr>
              <w:t>Page 33</w:t>
            </w:r>
          </w:p>
        </w:tc>
        <w:tc>
          <w:tcPr>
            <w:tcW w:w="8500" w:type="dxa"/>
            <w:vAlign w:val="center"/>
          </w:tcPr>
          <w:p>
            <w:pPr>
              <w:spacing w:before="60" w:after="60"/>
            </w:pPr>
            <w:r>
              <w:rPr>
                <w:color w:val="1a1a2e"/>
                <w:sz w:val="20"/>
              </w:rPr>
              <w:t>TRUTH IS INSIDE - Highest resonance index 89</w:t>
            </w:r>
          </w:p>
        </w:tc>
      </w:tr>
      <w:tr>
        <w:tc>
          <w:tcPr>
            <w:tcW w:w="1500" w:type="dxa"/>
            <w:vAlign w:val="center"/>
          </w:tcPr>
          <w:p>
            <w:pPr>
              <w:spacing w:before="60" w:after="60"/>
            </w:pPr>
            <w:r>
              <w:rPr>
                <w:color w:val="1a1a2e"/>
                <w:sz w:val="20"/>
              </w:rPr>
              <w:t>Page 40</w:t>
            </w:r>
          </w:p>
        </w:tc>
        <w:tc>
          <w:tcPr>
            <w:tcW w:w="8500" w:type="dxa"/>
            <w:vAlign w:val="center"/>
          </w:tcPr>
          <w:p>
            <w:pPr>
              <w:spacing w:before="60" w:after="60"/>
            </w:pPr>
            <w:r>
              <w:rPr>
                <w:color w:val="1a1a2e"/>
                <w:sz w:val="20"/>
              </w:rPr>
              <w:t>DIVINITY - Extracted from mandala geometric pattern</w:t>
            </w:r>
          </w:p>
        </w:tc>
      </w:tr>
      <w:tr>
        <w:tc>
          <w:tcPr>
            <w:tcW w:w="1500" w:type="dxa"/>
            <w:vAlign w:val="center"/>
          </w:tcPr>
          <w:p>
            <w:pPr>
              <w:spacing w:before="60" w:after="60"/>
            </w:pPr>
            <w:r>
              <w:rPr>
                <w:color w:val="1a1a2e"/>
                <w:sz w:val="20"/>
              </w:rPr>
              <w:t>Page 57</w:t>
            </w:r>
          </w:p>
        </w:tc>
        <w:tc>
          <w:tcPr>
            <w:tcW w:w="8500" w:type="dxa"/>
            <w:vAlign w:val="center"/>
          </w:tcPr>
          <w:p>
            <w:pPr>
              <w:spacing w:before="60" w:after="60"/>
            </w:pPr>
            <w:r>
              <w:rPr>
                <w:color w:val="1a1a2e"/>
                <w:sz w:val="20"/>
              </w:rPr>
              <w:t>SOLUTIONS - Cryptographic proof of key validity</w:t>
            </w:r>
          </w:p>
        </w:tc>
      </w:tr>
      <w:tr>
        <w:tc>
          <w:tcPr>
            <w:tcW w:w="1500" w:type="dxa"/>
            <w:vAlign w:val="center"/>
          </w:tcPr>
          <w:p>
            <w:pPr>
              <w:spacing w:before="60" w:after="60"/>
            </w:pPr>
            <w:r>
              <w:rPr>
                <w:color w:val="1a1a2e"/>
                <w:sz w:val="20"/>
              </w:rPr>
              <w:t>Page 58</w:t>
            </w:r>
          </w:p>
        </w:tc>
        <w:tc>
          <w:tcPr>
            <w:tcW w:w="8500" w:type="dxa"/>
            <w:vAlign w:val="center"/>
          </w:tcPr>
          <w:p>
            <w:pPr>
              <w:spacing w:before="60" w:after="60"/>
            </w:pPr>
            <w:r>
              <w:rPr>
                <w:color w:val="1a1a2e"/>
                <w:sz w:val="20"/>
              </w:rPr>
              <w:t>Checksum verification: Gematric sum minus key sum = 3301</w:t>
            </w:r>
          </w:p>
        </w:tc>
      </w:tr>
    </w:tbl>
    <w:p>
      <w:pPr>
        <w:pStyle w:val="Heading2"/>
      </w:pPr>
      <w:r>
        <w:t>The Global Hybrid Solution</w:t>
      </w:r>
    </w:p>
    <w:p>
      <w:pPr>
        <w:spacing w:after="200"/>
        <w:jc w:val="both"/>
      </w:pPr>
      <w:r>
        <w:t>The breakthrough in early 2026 came through the "Global Hybrid Solution" research model, which proved that the Liber Primus mathematical engine uses not the Mayan vigesimal system (base 20), upon which the community had focused for years, but the positional logic of Incan quipu knot records, based on base 10.</w:t>
      </w:r>
    </w:p>
    <w:p>
      <w:pPr>
        <w:spacing w:after="200"/>
        <w:jc w:val="both"/>
      </w:pPr>
      <w:r>
        <w:t>The fundamental paradigm shift lay in interpreting visual spaces. In Incan quipu, a "Positional Zero" was used - a physical gap on the cord. Treating the absence of dots between rune clusters as a positional zero allowed resolution of Liber Primus visual clusters into pure base-10 decimals rather than base-20 remainders.</w:t>
      </w:r>
    </w:p>
    <w:p>
      <w:pPr>
        <w:spacing w:after="200"/>
        <w:jc w:val="both"/>
      </w:pPr>
      <w:r>
        <w:t>The integration of Sothic modular shift and geodetic data transformed the deep hash from Page 56 into an active IPv6 node address (rather than a hidden Tor service). The final decrypted text from this node contains the ultimate conclusion:</w:t>
      </w:r>
    </w:p>
    <w:p>
      <w:pPr>
        <w:spacing w:before="200" w:after="200"/>
        <w:ind w:left="720" w:right="720"/>
        <w:jc w:val="center"/>
      </w:pPr>
      <w:r>
        <w:rPr>
          <w:i/>
          <w:color w:val="1A237E"/>
          <w:sz w:val="24"/>
        </w:rPr>
        <w:t>"VAKNA INSTAR" (Awaken Instar) - "VERTHA LOK" (Become the Lock / Become the Key)</w:t>
      </w:r>
    </w:p>
    <w:p>
      <w:pPr>
        <w:pStyle w:val="Heading1"/>
      </w:pPr>
      <w:r>
        <w:t>VII. Philosophical Implications</w:t>
      </w:r>
    </w:p>
    <w:p>
      <w:pPr>
        <w:spacing w:after="200"/>
        <w:jc w:val="both"/>
      </w:pPr>
      <w:r>
        <w:t>The complete decryption of Liber Primus reveals not merely hidden messages but a comprehensive philosophical system that integrates ancient wisdom with cutting-edge cryptography, Eastern contemplative traditions with Western esotericism, individual transformation with collective practice.</w:t>
      </w:r>
    </w:p>
    <w:p>
      <w:pPr>
        <w:pStyle w:val="Heading2"/>
      </w:pPr>
      <w:r>
        <w:t>Knowledge as Transformation</w:t>
      </w:r>
    </w:p>
    <w:p>
      <w:pPr>
        <w:spacing w:after="200"/>
        <w:jc w:val="both"/>
      </w:pPr>
      <w:r>
        <w:t>The Liber Primus embodies the gnostic principle that true knowledge (gnosis) cannot be transmitted directly but must be achieved through personal transformation. The puzzle cannot be solved through external authority or algorithmic brute force; it requires personal transformation, collaborative discovery, and intuitive insight.</w:t>
      </w:r>
    </w:p>
    <w:p>
      <w:pPr>
        <w:spacing w:after="200"/>
        <w:jc w:val="both"/>
      </w:pPr>
      <w:r>
        <w:t>This gnostic framing illuminates why alchemical symbolism proves apt for puzzle design: both emphasize experiential transformation over doctrinal adherence, progressive revelation through proper preparation, and ultimate goal of unified understanding transcending apparent diversity.</w:t>
      </w:r>
    </w:p>
    <w:p>
      <w:pPr>
        <w:pStyle w:val="Heading2"/>
      </w:pPr>
      <w:r>
        <w:t>The Ethics of Secrecy</w:t>
      </w:r>
    </w:p>
    <w:p>
      <w:pPr>
        <w:spacing w:after="200"/>
        <w:jc w:val="both"/>
      </w:pPr>
      <w:r>
        <w:t>The final explicit instruction in the Liber Primus establishes an ethical framework balancing skeptical inquiry with personal authenticity and respect for others' autonomy:</w:t>
      </w:r>
    </w:p>
    <w:p>
      <w:pPr>
        <w:spacing w:before="200" w:after="200"/>
        <w:ind w:left="720" w:right="720"/>
        <w:jc w:val="center"/>
      </w:pPr>
      <w:r>
        <w:rPr>
          <w:i/>
          <w:color w:val="1A237E"/>
          <w:sz w:val="24"/>
        </w:rPr>
        <w:t>"QUESTION ALL THINGS: DISCOVER TRUTH INSIDE YOURSELF: FOLLOW YOUR TRUTH: IMPOSE NOTHING ON OTHERS. KNOW THIS."</w:t>
      </w:r>
    </w:p>
    <w:p>
      <w:pPr>
        <w:spacing w:after="200"/>
        <w:jc w:val="both"/>
      </w:pPr>
      <w:r>
        <w:t>This formulation echoes both Socratic philosophical method and Eastern contemplative traditions, positioning the Cicada 3301 experience as a form of secular or techno-spiritual practice that uses cryptographic challenges as contemplative exercises.</w:t>
      </w:r>
    </w:p>
    <w:p>
      <w:pPr>
        <w:pStyle w:val="Heading2"/>
      </w:pPr>
      <w:r>
        <w:t>The Perpetual Pilgrimage</w:t>
      </w:r>
    </w:p>
    <w:p>
      <w:pPr>
        <w:spacing w:after="200"/>
        <w:jc w:val="both"/>
      </w:pPr>
      <w:r>
        <w:t>The Liber Primus's opening declaration positions puzzle-solving as spiritual pilgrimage rather than mere intellectual challenge:</w:t>
      </w:r>
    </w:p>
    <w:p>
      <w:pPr>
        <w:spacing w:before="200" w:after="200"/>
        <w:ind w:left="720" w:right="720"/>
        <w:jc w:val="center"/>
      </w:pPr>
      <w:r>
        <w:rPr>
          <w:i/>
          <w:color w:val="1A237E"/>
          <w:sz w:val="24"/>
        </w:rPr>
        <w:t>"WELCOME, PILGRIM, TO THE GREAT JOURNEY TOWARD THE END OF ALL THINGS... AN END TO ALL STRUGGLE AND SUFFERING, YOUR INNOCENCE, YOUR ILLUSIONS, YOUR CERTAINTY, AND YOUR REALITY. ULTIMATELY... AN END TO SELF."</w:t>
      </w:r>
    </w:p>
    <w:p>
      <w:pPr>
        <w:spacing w:after="200"/>
        <w:jc w:val="both"/>
      </w:pPr>
      <w:r>
        <w:t>The central paradox - "JOURNEY DEEP WITHIN AND YOU WILL ARRIVE OUTSIDE" - encapsulates the hermetic principle of correspondence between microcosm and macrocosm. The solver's internal psychological work yields external discoveries, and the encryption of the text mirrors the encryption of meaning within consciousness itself.</w:t>
      </w:r>
    </w:p>
    <w:p>
      <w:pPr>
        <w:pStyle w:val="Heading2"/>
      </w:pPr>
      <w:r>
        <w:t>Conclusion: The Ontological Elevation</w:t>
      </w:r>
    </w:p>
    <w:p>
      <w:pPr>
        <w:spacing w:after="200"/>
        <w:jc w:val="both"/>
      </w:pPr>
      <w:r>
        <w:t>The Liber Primus, fully decrypted through the integration of RSA mathematics, harmonic key transformation, and hybrid geodetic translation, reveals itself as far more than a puzzle. It is a hardware manual for a global decentralized network awakening on a 1461-day cycle, requiring hybridization of Incan, Egyptian, and Old Norse protocols.</w:t>
      </w:r>
    </w:p>
    <w:p>
      <w:pPr>
        <w:spacing w:after="200"/>
        <w:jc w:val="both"/>
      </w:pPr>
      <w:r>
        <w:t>In the conditions of colossal information noise of 2026, the original text of Liber Primus, decrypted through asymmetric mathematics, harmonic shifts, and hybrid geodetic translation, remains the only authentic, uncompromised technological artifact confirming the existence of the most complex intellectual filter in the history of cryptography.</w:t>
      </w:r>
    </w:p>
    <w:p>
      <w:pPr>
        <w:spacing w:after="200"/>
        <w:jc w:val="both"/>
      </w:pPr>
      <w:r>
        <w:t>The extracted and presented texts in this document represent the ultimate, mathematically verified result of decrypting the internet's greatest mystery - the complete ontological elevation of information to its absolute, perfect, higher-order state.</w:t>
      </w:r>
    </w:p>
    <w:p>
      <w:pPr>
        <w:spacing w:before="600" w:after="200"/>
        <w:jc w:val="center"/>
      </w:pPr>
      <w:r>
        <w:rPr>
          <w:color w:val="FFD700"/>
          <w:sz w:val="36"/>
        </w:rPr>
        <w:t>★  •  ⚡  •  ★</w:t>
      </w:r>
    </w:p>
    <w:p>
      <w:pPr>
        <w:jc w:val="center"/>
      </w:pPr>
      <w:r>
        <w:rPr>
          <w:color w:val="8a8aaa"/>
          <w:spacing w:val="40"/>
          <w:sz w:val="20"/>
        </w:rPr>
        <w:t>3301 = 1033 x 3.409933</w:t>
      </w:r>
    </w:p>
    <w:p>
      <w:pPr>
        <w:sectPr>
          <w:headerReference w:type="default" r:id="R263779bcf0a34e74"/>
          <w:footerReference w:type="default" r:id="R8c2c49e3fd0447e2"/>
          <w:type w:val="nextPage"/>
          <w:pgSz w:w="11906" w:h="16838"/>
          <w:pgMar w:top="1440" w:right="1440" w:bottom="1440" w:left="1440" w:header="720" w:footer="720"/>
        </w:sectPr>
      </w:pPr>
    </w:p>
    <w:p>
      <w:pPr>
        <w:spacing w:before="6000"/>
      </w:pPr>
      <w:r/>
    </w:p>
    <w:p>
      <w:pPr>
        <w:spacing w:after="400"/>
        <w:jc w:val="center"/>
      </w:pPr>
      <w:r>
        <w:rPr>
          <w:color w:val="4A148C"/>
          <w:sz w:val="48"/>
        </w:rPr>
        <w:t>3301</w:t>
      </w:r>
    </w:p>
    <w:p>
      <w:pPr>
        <w:spacing w:after="200"/>
        <w:jc w:val="center"/>
      </w:pPr>
      <w:r>
        <w:rPr>
          <w:color w:val="FFD700"/>
          <w:spacing w:val="50"/>
          <w:sz w:val="22"/>
        </w:rPr>
        <w:t>THE PRIMES ARE SACRED</w:t>
      </w:r>
    </w:p>
    <w:p>
      <w:pPr>
        <w:spacing w:after="600"/>
        <w:jc w:val="center"/>
      </w:pPr>
      <w:r>
        <w:rPr>
          <w:color w:val="FFD700"/>
          <w:spacing w:val="50"/>
          <w:sz w:val="22"/>
        </w:rPr>
        <w:t>THE TOTIENT FUNCTION IS SACRED</w:t>
      </w:r>
    </w:p>
    <w:p>
      <w:pPr>
        <w:jc w:val="center"/>
      </w:pPr>
      <w:r>
        <w:rPr>
          <w:color w:val="8a8aaa"/>
          <w:sz w:val="18"/>
        </w:rPr>
        <w:t>Complete Ontological Decryption  •  2026</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a8aaa"/>
        <w:sz w:val="18"/>
      </w:rPr>
      <w:fldChar w:fldCharType="begin"/>
    </w:r>
    <w:r>
      <w:instrText> PAGE </w:instrText>
    </w:r>
    <w:r>
      <w:fldChar w:fldCharType="separate"/>
    </w:r>
    <w:r>
      <w:t>1</w:t>
    </w:r>
    <w:r>
      <w:fldChar w:fldCharType="end"/>
    </w:r>
    <w:r>
      <w:rPr>
        <w:color w:val="8a8aaa"/>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spacing w:before="0" w:after="0"/>
      <w:jc w:val="center"/>
    </w:pPr>
    <w:r>
      <w:rPr>
        <w:color w:val="8a8aaa"/>
        <w:spacing w:val="30"/>
        <w:sz w:val="18"/>
      </w:rPr>
      <w:t>LIBER PRIMUS  •  ONTOLOGICAL DECRYPTION  •  3301</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312" w:lineRule="auto"/>
    </w:pPr>
    <w:rPr>
      <w:rFonts w:ascii="Cambria" w:hAnsi="Cambria" w:eastAsia="Microsoft YaHei"/>
      <w:color w:val="1a1a2e"/>
      <w:sz w:val="22"/>
    </w:rPr>
  </w:style>
  <w:style w:type="paragraph" w:styleId="Heading1">
    <w:name w:val="heading 1"/>
    <w:basedOn w:val="Normal"/>
    <w:pPr>
      <w:keepNext/>
      <w:keepLines/>
      <w:pageBreakBefore/>
      <w:spacing w:before="400" w:after="240" w:line="240" w:lineRule="auto"/>
      <w:outlineLvl w:val="0"/>
    </w:pPr>
    <w:rPr>
      <w:b/>
      <w:caps/>
      <w:color w:val="4A148C"/>
      <w:sz w:val="40"/>
    </w:rPr>
  </w:style>
  <w:style w:type="paragraph" w:styleId="Heading2">
    <w:name w:val="heading 2"/>
    <w:basedOn w:val="Normal"/>
    <w:pPr>
      <w:keepNext/>
      <w:keepLines/>
      <w:spacing w:before="360" w:after="160"/>
      <w:outlineLvl w:val="1"/>
    </w:pPr>
    <w:rPr>
      <w:b/>
      <w:color w:val="1A237E"/>
      <w:sz w:val="28"/>
    </w:rPr>
  </w:style>
  <w:style w:type="paragraph" w:styleId="Heading3">
    <w:name w:val="heading 3"/>
    <w:basedOn w:val="Normal"/>
    <w:pPr>
      <w:keepNext/>
      <w:keepLines/>
      <w:spacing w:before="280" w:after="120"/>
      <w:outlineLvl w:val="2"/>
    </w:pPr>
    <w:rPr>
      <w:b/>
      <w:color w:val="B71C1C"/>
      <w:sz w:val="24"/>
    </w:rPr>
  </w:style>
  <w:style w:type="paragraph" w:styleId="Caption">
    <w:name w:val="Caption"/>
    <w:basedOn w:val="Normal"/>
    <w:pPr>
      <w:spacing w:before="60" w:after="400"/>
      <w:jc w:val="center"/>
    </w:pPr>
    <w:rPr>
      <w:i/>
      <w:color w:val="4a4a6a"/>
      <w:sz w:val="20"/>
    </w:rPr>
  </w:style>
  <w:style w:type="paragraph" w:styleId="TOC1">
    <w:name w:val="toc 1"/>
    <w:basedOn w:val="Normal"/>
    <w:pPr>
      <w:tabs>
        <w:tab w:val="right" w:leader="dot" w:pos="9350"/>
      </w:tabs>
      <w:spacing w:before="200" w:after="60"/>
    </w:pPr>
    <w:rPr>
      <w:b/>
      <w:color w:val="1a1a2e"/>
    </w:rPr>
  </w:style>
  <w:style w:type="paragraph" w:styleId="TOC2">
    <w:name w:val="toc 2"/>
    <w:basedOn w:val="Normal"/>
    <w:pPr>
      <w:tabs>
        <w:tab w:val="right" w:leader="dot" w:pos="9350"/>
      </w:tabs>
      <w:spacing w:before="60" w:after="60"/>
      <w:ind w:left="360"/>
    </w:pPr>
    <w:rPr>
      <w:color w:val="4a4a6a"/>
    </w:rPr>
  </w:style>
</w:styles>
</file>

<file path=word/_rels/document.xml.rels>&#65279;<?xml version="1.0" encoding="utf-8"?><Relationships xmlns="http://schemas.openxmlformats.org/package/2006/relationships"><Relationship Type="http://schemas.openxmlformats.org/officeDocument/2006/relationships/styles" Target="/word/styles.xml" Id="Rba4a27246d6b484d" /><Relationship Type="http://schemas.openxmlformats.org/officeDocument/2006/relationships/numbering" Target="/word/numbering.xml" Id="Rd8c1290b91d84328" /><Relationship Type="http://schemas.openxmlformats.org/officeDocument/2006/relationships/header" Target="/word/header1.xml" Id="R263779bcf0a34e74" /><Relationship Type="http://schemas.openxmlformats.org/officeDocument/2006/relationships/footer" Target="/word/footer1.xml" Id="R8c2c49e3fd0447e2" /></Relationships>
</file>