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line="720" w:lineRule="auto"/>
        <w:jc w:val="center"/>
        <w:rPr>
          <w:rFonts w:hint="eastAsia" w:ascii="微软雅黑" w:hAnsi="微软雅黑" w:eastAsia="微软雅黑" w:cs="宋体"/>
          <w:b/>
          <w:bCs/>
          <w:color w:val="000000"/>
          <w:kern w:val="0"/>
          <w:sz w:val="30"/>
          <w:szCs w:val="30"/>
          <w:lang w:eastAsia="zh-CN"/>
        </w:rPr>
      </w:pPr>
      <w:r>
        <w:rPr>
          <w:rFonts w:hint="eastAsia" w:ascii="微软雅黑" w:hAnsi="微软雅黑" w:eastAsia="微软雅黑" w:cs="宋体"/>
          <w:b/>
          <w:bCs/>
          <w:color w:val="000000"/>
          <w:kern w:val="0"/>
          <w:sz w:val="30"/>
          <w:szCs w:val="30"/>
          <w:lang w:eastAsia="zh-CN"/>
        </w:rPr>
        <w:t>个人信用记录查询流程</w:t>
      </w:r>
    </w:p>
    <w:p>
      <w:pPr>
        <w:widowControl/>
        <w:numPr>
          <w:ilvl w:val="0"/>
          <w:numId w:val="1"/>
        </w:numPr>
        <w:spacing w:line="440" w:lineRule="exact"/>
        <w:jc w:val="left"/>
        <w:rPr>
          <w:rFonts w:hint="eastAsia" w:ascii="微软雅黑" w:hAnsi="微软雅黑" w:eastAsia="微软雅黑" w:cs="宋体"/>
          <w:color w:val="000000"/>
          <w:kern w:val="0"/>
          <w:szCs w:val="21"/>
          <w:lang w:val="en-US" w:eastAsia="zh-CN"/>
        </w:rPr>
      </w:pPr>
      <w:r>
        <w:rPr>
          <w:rFonts w:hint="eastAsia" w:ascii="微软雅黑" w:hAnsi="微软雅黑" w:eastAsia="微软雅黑" w:cs="宋体"/>
          <w:color w:val="000000"/>
          <w:kern w:val="0"/>
          <w:szCs w:val="21"/>
          <w:lang w:val="en-US" w:eastAsia="zh-CN"/>
        </w:rPr>
        <w:t>登录中国人民银行征信中心，http://www.pbccrc.org.cn</w:t>
      </w:r>
    </w:p>
    <w:p>
      <w:pPr>
        <w:widowControl/>
        <w:numPr>
          <w:ilvl w:val="0"/>
          <w:numId w:val="1"/>
        </w:numPr>
        <w:spacing w:line="440" w:lineRule="exact"/>
        <w:jc w:val="left"/>
        <w:rPr>
          <w:rFonts w:hint="eastAsia" w:ascii="微软雅黑" w:hAnsi="微软雅黑" w:eastAsia="微软雅黑" w:cs="宋体"/>
          <w:color w:val="000000"/>
          <w:kern w:val="0"/>
          <w:szCs w:val="21"/>
          <w:lang w:val="en-US" w:eastAsia="zh-CN"/>
        </w:rPr>
      </w:pPr>
      <w:r>
        <w:rPr>
          <w:rFonts w:hint="eastAsia" w:ascii="微软雅黑" w:hAnsi="微软雅黑" w:eastAsia="微软雅黑" w:cs="宋体"/>
          <w:color w:val="000000"/>
          <w:kern w:val="0"/>
          <w:szCs w:val="21"/>
          <w:lang w:val="en-US" w:eastAsia="zh-CN"/>
        </w:rPr>
        <w:t>点击页面中间“核心业务”——“互联网个人信用信息服务平台”，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宋体"/>
          <w:color w:val="000000"/>
          <w:kern w:val="0"/>
          <w:szCs w:val="21"/>
          <w:lang w:val="en-US" w:eastAsia="zh-CN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-SA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-SA"/>
        </w:rPr>
        <w:instrText xml:space="preserve">INCLUDEPICTURE \d "C:\\Documents and Settings\\zhouxia\\Application Data\\Tencent\\Users\\59726990\\QQ\\WinTemp\\RichOle\\GNTUXYCR~}_VDRO435C`7NY.png" \* MERGEFORMATINET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-SA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-SA"/>
        </w:rPr>
        <w:drawing>
          <wp:inline distT="0" distB="0" distL="114300" distR="114300">
            <wp:extent cx="3763010" cy="1430655"/>
            <wp:effectExtent l="0" t="0" r="8890" b="1714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63010" cy="1430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-SA"/>
        </w:rPr>
        <w:fldChar w:fldCharType="end"/>
      </w:r>
    </w:p>
    <w:p>
      <w:pPr>
        <w:widowControl/>
        <w:numPr>
          <w:ilvl w:val="0"/>
          <w:numId w:val="0"/>
        </w:numPr>
        <w:spacing w:line="440" w:lineRule="exact"/>
        <w:jc w:val="left"/>
        <w:rPr>
          <w:rFonts w:hint="eastAsia" w:ascii="微软雅黑" w:hAnsi="微软雅黑" w:eastAsia="微软雅黑" w:cs="宋体"/>
          <w:color w:val="000000"/>
          <w:kern w:val="0"/>
          <w:szCs w:val="21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宋体"/>
          <w:color w:val="000000"/>
          <w:kern w:val="0"/>
          <w:szCs w:val="21"/>
          <w:lang w:val="en-US" w:eastAsia="zh-CN"/>
        </w:rPr>
        <w:t>3、点击“互联网个人信用信息服务平台”后，出现如下页面，在如下页面点击“马上开始”，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-SA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-SA"/>
        </w:rPr>
        <w:instrText xml:space="preserve">INCLUDEPICTURE \d "C:\\Documents and Settings\\zhouxia\\Application Data\\Tencent\\Users\\59726990\\QQ\\WinTemp\\RichOle\\~V3F4P$MQT~C_864ME9%7VY.png" \* MERGEFORMATINET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-SA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-SA"/>
        </w:rPr>
        <w:drawing>
          <wp:inline distT="0" distB="0" distL="114300" distR="114300">
            <wp:extent cx="5019675" cy="2317750"/>
            <wp:effectExtent l="0" t="0" r="9525" b="635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317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-SA"/>
        </w:rPr>
        <w:fldChar w:fldCharType="end"/>
      </w:r>
    </w:p>
    <w:p>
      <w:pPr>
        <w:widowControl/>
        <w:numPr>
          <w:ilvl w:val="0"/>
          <w:numId w:val="0"/>
        </w:numPr>
        <w:spacing w:line="440" w:lineRule="exact"/>
        <w:jc w:val="left"/>
        <w:rPr>
          <w:rFonts w:hint="eastAsia" w:ascii="微软雅黑" w:hAnsi="微软雅黑" w:eastAsia="微软雅黑" w:cs="宋体"/>
          <w:color w:val="000000"/>
          <w:kern w:val="0"/>
          <w:szCs w:val="21"/>
          <w:lang w:val="en-US" w:eastAsia="zh-CN"/>
        </w:rPr>
      </w:pPr>
      <w:r>
        <w:rPr>
          <w:rFonts w:hint="eastAsia" w:ascii="微软雅黑" w:hAnsi="微软雅黑" w:eastAsia="微软雅黑" w:cs="宋体"/>
          <w:color w:val="000000"/>
          <w:kern w:val="0"/>
          <w:szCs w:val="21"/>
          <w:lang w:val="en-US" w:eastAsia="zh-CN"/>
        </w:rPr>
        <w:t>4、“马上开始”页面，进行新用户注册。新用户注册里将会要求提供个人身份证号及个人手机号，同时个人手机号里将出收到验证码，输入验证码方可完成用户注册。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-SA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-SA"/>
        </w:rPr>
        <w:instrText xml:space="preserve">INCLUDEPICTURE \d "C:\\Documents and Settings\\zhouxia\\Application Data\\Tencent\\Users\\59726990\\QQ\\WinTemp\\RichOle\\FWMN@(A2(48[X4AXOW(03%E.png" \* MERGEFORMATINET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-SA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-SA"/>
        </w:rPr>
        <w:drawing>
          <wp:inline distT="0" distB="0" distL="114300" distR="114300">
            <wp:extent cx="5422265" cy="2120265"/>
            <wp:effectExtent l="0" t="0" r="6985" b="1333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2265" cy="21202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-SA"/>
        </w:rPr>
        <w:fldChar w:fldCharType="end"/>
      </w:r>
    </w:p>
    <w:p>
      <w:pPr>
        <w:widowControl/>
        <w:numPr>
          <w:ilvl w:val="0"/>
          <w:numId w:val="2"/>
        </w:numPr>
        <w:spacing w:line="440" w:lineRule="exact"/>
        <w:jc w:val="left"/>
        <w:rPr>
          <w:rFonts w:hint="eastAsia" w:ascii="微软雅黑" w:hAnsi="微软雅黑" w:eastAsia="微软雅黑" w:cs="宋体"/>
          <w:color w:val="000000"/>
          <w:kern w:val="0"/>
          <w:szCs w:val="21"/>
          <w:lang w:val="en-US" w:eastAsia="zh-CN"/>
        </w:rPr>
      </w:pPr>
      <w:r>
        <w:rPr>
          <w:rFonts w:hint="eastAsia" w:ascii="微软雅黑" w:hAnsi="微软雅黑" w:eastAsia="微软雅黑" w:cs="宋体"/>
          <w:color w:val="000000"/>
          <w:kern w:val="0"/>
          <w:szCs w:val="21"/>
          <w:lang w:val="en-US" w:eastAsia="zh-CN"/>
        </w:rPr>
        <w:t>新用户注册完成，根据用户名和密码登录进入上述第4步的用户登录界面；</w:t>
      </w:r>
    </w:p>
    <w:p>
      <w:pPr>
        <w:widowControl/>
        <w:numPr>
          <w:ilvl w:val="0"/>
          <w:numId w:val="0"/>
        </w:numPr>
        <w:spacing w:line="440" w:lineRule="exact"/>
        <w:jc w:val="left"/>
        <w:rPr>
          <w:rFonts w:hint="eastAsia" w:ascii="微软雅黑" w:hAnsi="微软雅黑" w:eastAsia="微软雅黑" w:cs="宋体"/>
          <w:color w:val="000000"/>
          <w:kern w:val="0"/>
          <w:szCs w:val="21"/>
          <w:lang w:val="en-US" w:eastAsia="zh-CN"/>
        </w:rPr>
      </w:pPr>
      <w:r>
        <w:rPr>
          <w:rFonts w:hint="eastAsia" w:ascii="微软雅黑" w:hAnsi="微软雅黑" w:eastAsia="微软雅黑" w:cs="宋体"/>
          <w:color w:val="000000"/>
          <w:kern w:val="0"/>
          <w:szCs w:val="21"/>
          <w:lang w:val="en-US" w:eastAsia="zh-CN"/>
        </w:rPr>
        <w:t xml:space="preserve">   1）登录进入后，点击页面右上角“信息服务”——“申请用户信息”，出现如下页面；</w:t>
      </w:r>
    </w:p>
    <w:p>
      <w:pPr>
        <w:widowControl/>
        <w:numPr>
          <w:ilvl w:val="0"/>
          <w:numId w:val="0"/>
        </w:numPr>
        <w:spacing w:line="440" w:lineRule="exact"/>
        <w:jc w:val="left"/>
        <w:rPr>
          <w:rFonts w:hint="eastAsia" w:ascii="微软雅黑" w:hAnsi="微软雅黑" w:eastAsia="微软雅黑" w:cs="宋体"/>
          <w:color w:val="000000"/>
          <w:kern w:val="0"/>
          <w:szCs w:val="21"/>
          <w:lang w:val="en-US" w:eastAsia="zh-CN"/>
        </w:rPr>
      </w:pPr>
      <w:r>
        <w:rPr>
          <w:rFonts w:hint="eastAsia" w:ascii="微软雅黑" w:hAnsi="微软雅黑" w:eastAsia="微软雅黑" w:cs="宋体"/>
          <w:color w:val="000000"/>
          <w:kern w:val="0"/>
          <w:szCs w:val="21"/>
          <w:lang w:val="en-US" w:eastAsia="zh-CN"/>
        </w:rPr>
        <w:t xml:space="preserve">   2）“选择验证方式“里，任选一种；</w:t>
      </w:r>
    </w:p>
    <w:p>
      <w:pPr>
        <w:widowControl/>
        <w:numPr>
          <w:ilvl w:val="0"/>
          <w:numId w:val="0"/>
        </w:numPr>
        <w:spacing w:line="440" w:lineRule="exact"/>
        <w:jc w:val="left"/>
        <w:rPr>
          <w:rFonts w:hint="eastAsia" w:ascii="微软雅黑" w:hAnsi="微软雅黑" w:eastAsia="微软雅黑" w:cs="宋体"/>
          <w:color w:val="000000"/>
          <w:kern w:val="0"/>
          <w:szCs w:val="21"/>
          <w:lang w:val="en-US" w:eastAsia="zh-CN"/>
        </w:rPr>
      </w:pPr>
      <w:r>
        <w:rPr>
          <w:rFonts w:hint="eastAsia" w:ascii="微软雅黑" w:hAnsi="微软雅黑" w:eastAsia="微软雅黑" w:cs="宋体"/>
          <w:color w:val="000000"/>
          <w:kern w:val="0"/>
          <w:szCs w:val="21"/>
          <w:lang w:val="en-US" w:eastAsia="zh-CN"/>
        </w:rPr>
        <w:t xml:space="preserve">   3）“选择信用信息”——“个人信用报告”栏；</w:t>
      </w:r>
    </w:p>
    <w:p>
      <w:pPr>
        <w:widowControl/>
        <w:numPr>
          <w:ilvl w:val="0"/>
          <w:numId w:val="0"/>
        </w:numPr>
        <w:spacing w:line="440" w:lineRule="exact"/>
        <w:jc w:val="left"/>
        <w:rPr>
          <w:rFonts w:hint="eastAsia" w:ascii="微软雅黑" w:hAnsi="微软雅黑" w:eastAsia="微软雅黑" w:cs="宋体"/>
          <w:color w:val="000000"/>
          <w:kern w:val="0"/>
          <w:szCs w:val="21"/>
          <w:lang w:val="en-US" w:eastAsia="zh-CN"/>
        </w:rPr>
      </w:pPr>
      <w:r>
        <w:rPr>
          <w:rFonts w:hint="eastAsia" w:ascii="微软雅黑" w:hAnsi="微软雅黑" w:eastAsia="微软雅黑" w:cs="宋体"/>
          <w:color w:val="000000"/>
          <w:kern w:val="0"/>
          <w:szCs w:val="21"/>
          <w:lang w:val="en-US" w:eastAsia="zh-CN"/>
        </w:rPr>
        <w:t xml:space="preserve">   如上操作完毕后，点击”下一步“，完成相应问题，即可完成信用报告查询步骤，个人征信报告将于24小时内生成，第二个工作日个人登录进入本网站，下载个人信用报告PDF版本。（下载个人信用报告PDF版本时，会要求输入手机验证码，此验证码在7天内有效，超过7天失效）</w:t>
      </w:r>
    </w:p>
    <w:p>
      <w:r>
        <w:rPr>
          <w:rFonts w:ascii="宋体" w:hAnsi="宋体" w:eastAsia="宋体" w:cs="宋体"/>
          <w:kern w:val="0"/>
          <w:sz w:val="24"/>
          <w:szCs w:val="24"/>
          <w:lang w:val="en-US" w:eastAsia="zh-CN" w:bidi="ar-SA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-SA"/>
        </w:rPr>
        <w:instrText xml:space="preserve">INCLUDEPICTURE \d "C:\\Documents and Settings\\zhouxia\\Application Data\\Tencent\\Users\\59726990\\QQ\\WinTemp\\RichOle\\0O}0U_8OYXM8C381[AQ8TQF.png" \* MERGEFORMATINET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-SA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-SA"/>
        </w:rPr>
        <w:drawing>
          <wp:inline distT="0" distB="0" distL="114300" distR="114300">
            <wp:extent cx="5200015" cy="5140960"/>
            <wp:effectExtent l="0" t="0" r="635" b="254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0015" cy="51409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-SA"/>
        </w:rPr>
        <w:fldChar w:fldCharType="end"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alibri Ligh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等线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ADF9B6"/>
    <w:multiLevelType w:val="singleLevel"/>
    <w:tmpl w:val="55ADF9B6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55ADFE7C"/>
    <w:multiLevelType w:val="singleLevel"/>
    <w:tmpl w:val="55ADFE7C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9125B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Office_10.1.0.6690_F1E327BC-269C-435d-A152-05C5408002CA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2017-08-10T05:28:00Z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