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Misconceptie over Moslims</w:t>
      </w:r>
    </w:p>
    <w:p w:rsidR="00000000" w:rsidDel="00000000" w:rsidP="00000000" w:rsidRDefault="00000000" w:rsidRPr="00000000">
      <w:pPr>
        <w:contextualSpacing w:val="0"/>
        <w:rPr/>
      </w:pPr>
      <w:r w:rsidDel="00000000" w:rsidR="00000000" w:rsidRPr="00000000">
        <w:rPr>
          <w:rtl w:val="0"/>
        </w:rPr>
        <w:t xml:space="preserve">Landen overschatten de grootte van de moslimpopulatie in hun land. Zoals te zien in de onderstaande grafiek denken Duitsers dat de moslimpopulatie 3.2x groter is dan deze daadwerkelijk is. Hongaren schatten deze zelfs 70x groter.</w:t>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476250</wp:posOffset>
            </wp:positionV>
            <wp:extent cx="3776663" cy="2985362"/>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776663" cy="2985362"/>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Bdr>
          <w:top w:color="auto" w:space="7" w:sz="0" w:val="none"/>
          <w:left w:color="auto" w:space="0" w:sz="0" w:val="none"/>
          <w:bottom w:color="auto" w:space="7" w:sz="0" w:val="none"/>
          <w:right w:color="auto" w:space="0" w:sz="0" w:val="none"/>
          <w:between w:color="auto" w:space="7" w:sz="0" w:val="none"/>
        </w:pBdr>
        <w:shd w:fill="ffffff" w:val="clear"/>
        <w:contextualSpacing w:val="0"/>
        <w:rPr>
          <w:color w:val="220f41"/>
          <w:sz w:val="24"/>
          <w:szCs w:val="24"/>
        </w:rPr>
      </w:pPr>
      <w:r w:rsidDel="00000000" w:rsidR="00000000" w:rsidRPr="00000000">
        <w:rPr>
          <w:b w:val="1"/>
          <w:color w:val="220f41"/>
          <w:rtl w:val="0"/>
        </w:rPr>
        <w:t xml:space="preserve">Aantal Asiel aanvragen 2014</w:t>
      </w:r>
      <w:r w:rsidDel="00000000" w:rsidR="00000000" w:rsidRPr="00000000">
        <w:rPr>
          <w:color w:val="220f41"/>
          <w:sz w:val="24"/>
          <w:szCs w:val="24"/>
          <w:rtl w:val="0"/>
        </w:rPr>
        <w:br w:type="textWrapping"/>
        <w:t xml:space="preserve">Misschien interessant om te schetsen welke landen de meeste asielzoekers krijgen binnen de EU. Nederland staat hierbij relatief laag. misschien ook een interessante relativering voor veel mensen. Wel belangrijk dat dit alleen over 2014 gaat (maar lijkt me alsnog goed voor een algemeen beeld).</w:t>
      </w:r>
    </w:p>
    <w:tbl>
      <w:tblPr>
        <w:tblStyle w:val="Table1"/>
        <w:tblW w:w="6105.0" w:type="dxa"/>
        <w:jc w:val="left"/>
        <w:tblInd w:w="100.0" w:type="pct"/>
        <w:tblBorders>
          <w:top w:color="220f41" w:space="0" w:sz="5" w:val="single"/>
          <w:left w:color="000000" w:space="0" w:sz="0" w:val="nil"/>
          <w:bottom w:color="220f41" w:space="0" w:sz="5" w:val="single"/>
          <w:right w:color="000000" w:space="0" w:sz="0" w:val="nil"/>
          <w:insideH w:color="000000" w:space="0" w:sz="0" w:val="nil"/>
          <w:insideV w:color="000000" w:space="0" w:sz="0" w:val="nil"/>
        </w:tblBorders>
        <w:tblLayout w:type="fixed"/>
        <w:tblLook w:val="0600"/>
      </w:tblPr>
      <w:tblGrid>
        <w:gridCol w:w="1560"/>
        <w:gridCol w:w="1665"/>
        <w:gridCol w:w="2880"/>
        <w:tblGridChange w:id="0">
          <w:tblGrid>
            <w:gridCol w:w="1560"/>
            <w:gridCol w:w="1665"/>
            <w:gridCol w:w="2880"/>
          </w:tblGrid>
        </w:tblGridChange>
      </w:tblGrid>
      <w:tr>
        <w:trPr>
          <w:trHeight w:val="520" w:hRule="atLeast"/>
        </w:trPr>
        <w:tc>
          <w:tcP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color w:val="220f41"/>
              </w:rPr>
            </w:pPr>
            <w:r w:rsidDel="00000000" w:rsidR="00000000" w:rsidRPr="00000000">
              <w:rPr>
                <w:color w:val="220f41"/>
                <w:rtl w:val="0"/>
              </w:rPr>
              <w:t xml:space="preserve">Land</w:t>
            </w:r>
          </w:p>
        </w:tc>
        <w:tc>
          <w:tcPr>
            <w:tcMar>
              <w:top w:w="100.0" w:type="dxa"/>
              <w:left w:w="100.0" w:type="dxa"/>
              <w:bottom w:w="100.0" w:type="dxa"/>
              <w:right w:w="100.0" w:type="dxa"/>
            </w:tcMar>
            <w:vAlign w:val="top"/>
          </w:tcPr>
          <w:p w:rsidR="00000000" w:rsidDel="00000000" w:rsidP="00000000" w:rsidRDefault="00000000" w:rsidRPr="00000000">
            <w:pPr>
              <w:pBdr>
                <w:top w:color="auto" w:space="7" w:sz="0" w:val="none"/>
                <w:left w:color="auto" w:space="0" w:sz="0" w:val="none"/>
                <w:bottom w:color="auto" w:space="7" w:sz="0" w:val="none"/>
                <w:right w:color="auto" w:space="0" w:sz="0" w:val="none"/>
                <w:between w:color="auto" w:space="7" w:sz="0" w:val="none"/>
              </w:pBdr>
              <w:spacing w:line="240" w:lineRule="auto"/>
              <w:contextualSpacing w:val="0"/>
              <w:jc w:val="right"/>
              <w:rPr>
                <w:color w:val="220f41"/>
              </w:rPr>
            </w:pPr>
            <w:r w:rsidDel="00000000" w:rsidR="00000000" w:rsidRPr="00000000">
              <w:rPr>
                <w:color w:val="220f41"/>
                <w:rtl w:val="0"/>
              </w:rPr>
              <w:t xml:space="preserve">Aantal</w:t>
            </w:r>
          </w:p>
        </w:tc>
        <w:tc>
          <w:tcPr>
            <w:tcMar>
              <w:top w:w="100.0" w:type="dxa"/>
              <w:left w:w="100.0" w:type="dxa"/>
              <w:bottom w:w="100.0" w:type="dxa"/>
              <w:right w:w="100.0" w:type="dxa"/>
            </w:tcMar>
            <w:vAlign w:val="top"/>
          </w:tcPr>
          <w:p w:rsidR="00000000" w:rsidDel="00000000" w:rsidP="00000000" w:rsidRDefault="00000000" w:rsidRPr="00000000">
            <w:pPr>
              <w:pBdr>
                <w:top w:color="auto" w:space="7" w:sz="0" w:val="none"/>
                <w:left w:color="auto" w:space="0" w:sz="0" w:val="none"/>
                <w:bottom w:color="auto" w:space="7" w:sz="0" w:val="none"/>
                <w:right w:color="auto" w:space="0" w:sz="0" w:val="none"/>
                <w:between w:color="auto" w:space="7" w:sz="0" w:val="none"/>
              </w:pBdr>
              <w:spacing w:line="240" w:lineRule="auto"/>
              <w:contextualSpacing w:val="0"/>
              <w:jc w:val="right"/>
              <w:rPr>
                <w:color w:val="220f41"/>
              </w:rPr>
            </w:pPr>
            <w:r w:rsidDel="00000000" w:rsidR="00000000" w:rsidRPr="00000000">
              <w:rPr>
                <w:color w:val="220f41"/>
                <w:rtl w:val="0"/>
              </w:rPr>
              <w:t xml:space="preserve">Aantal per 1.000 inwoners</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color w:val="220f41"/>
              </w:rPr>
            </w:pPr>
            <w:r w:rsidDel="00000000" w:rsidR="00000000" w:rsidRPr="00000000">
              <w:rPr>
                <w:color w:val="220f41"/>
                <w:rtl w:val="0"/>
              </w:rPr>
              <w:t xml:space="preserve">Duitsland  </w:t>
            </w:r>
          </w:p>
        </w:tc>
        <w:tc>
          <w:tcPr>
            <w:tcMar>
              <w:top w:w="100.0" w:type="dxa"/>
              <w:left w:w="100.0" w:type="dxa"/>
              <w:bottom w:w="100.0" w:type="dxa"/>
              <w:right w:w="100.0" w:type="dxa"/>
            </w:tcMar>
            <w:vAlign w:val="top"/>
          </w:tcPr>
          <w:p w:rsidR="00000000" w:rsidDel="00000000" w:rsidP="00000000" w:rsidRDefault="00000000" w:rsidRPr="00000000">
            <w:pPr>
              <w:pBdr>
                <w:top w:color="auto" w:space="7" w:sz="0" w:val="none"/>
                <w:left w:color="auto" w:space="0" w:sz="0" w:val="none"/>
                <w:bottom w:color="auto" w:space="7" w:sz="0" w:val="none"/>
                <w:right w:color="auto" w:space="0" w:sz="0" w:val="none"/>
                <w:between w:color="auto" w:space="7" w:sz="0" w:val="none"/>
              </w:pBdr>
              <w:spacing w:line="240" w:lineRule="auto"/>
              <w:contextualSpacing w:val="0"/>
              <w:jc w:val="right"/>
              <w:rPr>
                <w:color w:val="220f41"/>
              </w:rPr>
            </w:pPr>
            <w:r w:rsidDel="00000000" w:rsidR="00000000" w:rsidRPr="00000000">
              <w:rPr>
                <w:color w:val="220f41"/>
                <w:rtl w:val="0"/>
              </w:rPr>
              <w:t xml:space="preserve">662.680</w:t>
            </w:r>
          </w:p>
        </w:tc>
        <w:tc>
          <w:tcPr>
            <w:tcMar>
              <w:top w:w="100.0" w:type="dxa"/>
              <w:left w:w="100.0" w:type="dxa"/>
              <w:bottom w:w="100.0" w:type="dxa"/>
              <w:right w:w="100.0" w:type="dxa"/>
            </w:tcMar>
            <w:vAlign w:val="top"/>
          </w:tcPr>
          <w:p w:rsidR="00000000" w:rsidDel="00000000" w:rsidP="00000000" w:rsidRDefault="00000000" w:rsidRPr="00000000">
            <w:pPr>
              <w:pBdr>
                <w:top w:color="auto" w:space="7" w:sz="0" w:val="none"/>
                <w:left w:color="auto" w:space="0" w:sz="0" w:val="none"/>
                <w:bottom w:color="auto" w:space="7" w:sz="0" w:val="none"/>
                <w:right w:color="auto" w:space="0" w:sz="0" w:val="none"/>
                <w:between w:color="auto" w:space="7" w:sz="0" w:val="none"/>
              </w:pBdr>
              <w:spacing w:line="240" w:lineRule="auto"/>
              <w:contextualSpacing w:val="0"/>
              <w:jc w:val="right"/>
              <w:rPr>
                <w:color w:val="220f41"/>
              </w:rPr>
            </w:pPr>
            <w:r w:rsidDel="00000000" w:rsidR="00000000" w:rsidRPr="00000000">
              <w:rPr>
                <w:color w:val="220f41"/>
                <w:rtl w:val="0"/>
              </w:rPr>
              <w:t xml:space="preserve">8.07</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pPr>
              <w:pBdr>
                <w:top w:color="auto" w:space="7" w:sz="0" w:val="none"/>
                <w:left w:color="auto" w:space="0" w:sz="0" w:val="none"/>
                <w:bottom w:color="auto" w:space="7" w:sz="0" w:val="none"/>
                <w:right w:color="auto" w:space="0" w:sz="0" w:val="none"/>
                <w:between w:color="auto" w:space="7" w:sz="0" w:val="none"/>
              </w:pBdr>
              <w:spacing w:line="240" w:lineRule="auto"/>
              <w:contextualSpacing w:val="0"/>
              <w:rPr>
                <w:color w:val="220f41"/>
              </w:rPr>
            </w:pPr>
            <w:r w:rsidDel="00000000" w:rsidR="00000000" w:rsidRPr="00000000">
              <w:rPr>
                <w:color w:val="220f41"/>
                <w:rtl w:val="0"/>
              </w:rPr>
              <w:t xml:space="preserve">Oostenrijk </w:t>
            </w:r>
          </w:p>
        </w:tc>
        <w:tc>
          <w:tcPr>
            <w:tcMar>
              <w:top w:w="100.0" w:type="dxa"/>
              <w:left w:w="100.0" w:type="dxa"/>
              <w:bottom w:w="100.0" w:type="dxa"/>
              <w:right w:w="100.0" w:type="dxa"/>
            </w:tcMar>
            <w:vAlign w:val="top"/>
          </w:tcPr>
          <w:p w:rsidR="00000000" w:rsidDel="00000000" w:rsidP="00000000" w:rsidRDefault="00000000" w:rsidRPr="00000000">
            <w:pPr>
              <w:pBdr>
                <w:top w:color="auto" w:space="7" w:sz="0" w:val="none"/>
                <w:left w:color="auto" w:space="0" w:sz="0" w:val="none"/>
                <w:bottom w:color="auto" w:space="7" w:sz="0" w:val="none"/>
                <w:right w:color="auto" w:space="0" w:sz="0" w:val="none"/>
                <w:between w:color="auto" w:space="7" w:sz="0" w:val="none"/>
              </w:pBdr>
              <w:spacing w:line="240" w:lineRule="auto"/>
              <w:contextualSpacing w:val="0"/>
              <w:jc w:val="right"/>
              <w:rPr>
                <w:color w:val="220f41"/>
              </w:rPr>
            </w:pPr>
            <w:r w:rsidDel="00000000" w:rsidR="00000000" w:rsidRPr="00000000">
              <w:rPr>
                <w:color w:val="220f41"/>
                <w:rtl w:val="0"/>
              </w:rPr>
              <w:t xml:space="preserve">34.580</w:t>
            </w:r>
          </w:p>
        </w:tc>
        <w:tc>
          <w:tcPr>
            <w:tcMar>
              <w:top w:w="100.0" w:type="dxa"/>
              <w:left w:w="100.0" w:type="dxa"/>
              <w:bottom w:w="100.0" w:type="dxa"/>
              <w:right w:w="100.0" w:type="dxa"/>
            </w:tcMar>
            <w:vAlign w:val="top"/>
          </w:tcPr>
          <w:p w:rsidR="00000000" w:rsidDel="00000000" w:rsidP="00000000" w:rsidRDefault="00000000" w:rsidRPr="00000000">
            <w:pPr>
              <w:pBdr>
                <w:top w:color="auto" w:space="7" w:sz="0" w:val="none"/>
                <w:left w:color="auto" w:space="0" w:sz="0" w:val="none"/>
                <w:bottom w:color="auto" w:space="7" w:sz="0" w:val="none"/>
                <w:right w:color="auto" w:space="0" w:sz="0" w:val="none"/>
                <w:between w:color="auto" w:space="7" w:sz="0" w:val="none"/>
              </w:pBdr>
              <w:spacing w:line="240" w:lineRule="auto"/>
              <w:contextualSpacing w:val="0"/>
              <w:jc w:val="right"/>
              <w:rPr>
                <w:color w:val="220f41"/>
              </w:rPr>
            </w:pPr>
            <w:r w:rsidDel="00000000" w:rsidR="00000000" w:rsidRPr="00000000">
              <w:rPr>
                <w:color w:val="220f41"/>
                <w:rtl w:val="0"/>
              </w:rPr>
              <w:t xml:space="preserve">3,97</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pPr>
              <w:pBdr>
                <w:top w:color="auto" w:space="7" w:sz="0" w:val="none"/>
                <w:left w:color="auto" w:space="0" w:sz="0" w:val="none"/>
                <w:bottom w:color="auto" w:space="7" w:sz="0" w:val="none"/>
                <w:right w:color="auto" w:space="0" w:sz="0" w:val="none"/>
                <w:between w:color="auto" w:space="7" w:sz="0" w:val="none"/>
              </w:pBdr>
              <w:spacing w:line="240" w:lineRule="auto"/>
              <w:contextualSpacing w:val="0"/>
              <w:rPr>
                <w:color w:val="220f41"/>
              </w:rPr>
            </w:pPr>
            <w:r w:rsidDel="00000000" w:rsidR="00000000" w:rsidRPr="00000000">
              <w:rPr>
                <w:color w:val="220f41"/>
                <w:rtl w:val="0"/>
              </w:rPr>
              <w:t xml:space="preserve">Malta </w:t>
            </w:r>
          </w:p>
        </w:tc>
        <w:tc>
          <w:tcPr>
            <w:tcMar>
              <w:top w:w="100.0" w:type="dxa"/>
              <w:left w:w="100.0" w:type="dxa"/>
              <w:bottom w:w="100.0" w:type="dxa"/>
              <w:right w:w="100.0" w:type="dxa"/>
            </w:tcMar>
            <w:vAlign w:val="top"/>
          </w:tcPr>
          <w:p w:rsidR="00000000" w:rsidDel="00000000" w:rsidP="00000000" w:rsidRDefault="00000000" w:rsidRPr="00000000">
            <w:pPr>
              <w:pBdr>
                <w:top w:color="auto" w:space="7" w:sz="0" w:val="none"/>
                <w:left w:color="auto" w:space="0" w:sz="0" w:val="none"/>
                <w:bottom w:color="auto" w:space="7" w:sz="0" w:val="none"/>
                <w:right w:color="auto" w:space="0" w:sz="0" w:val="none"/>
                <w:between w:color="auto" w:space="7" w:sz="0" w:val="none"/>
              </w:pBdr>
              <w:spacing w:line="240" w:lineRule="auto"/>
              <w:contextualSpacing w:val="0"/>
              <w:jc w:val="right"/>
              <w:rPr>
                <w:color w:val="220f41"/>
              </w:rPr>
            </w:pPr>
            <w:r w:rsidDel="00000000" w:rsidR="00000000" w:rsidRPr="00000000">
              <w:rPr>
                <w:color w:val="220f41"/>
                <w:rtl w:val="0"/>
              </w:rPr>
              <w:t xml:space="preserve">1.390</w:t>
            </w:r>
          </w:p>
        </w:tc>
        <w:tc>
          <w:tcPr>
            <w:tcMar>
              <w:top w:w="100.0" w:type="dxa"/>
              <w:left w:w="100.0" w:type="dxa"/>
              <w:bottom w:w="100.0" w:type="dxa"/>
              <w:right w:w="100.0" w:type="dxa"/>
            </w:tcMar>
            <w:vAlign w:val="top"/>
          </w:tcPr>
          <w:p w:rsidR="00000000" w:rsidDel="00000000" w:rsidP="00000000" w:rsidRDefault="00000000" w:rsidRPr="00000000">
            <w:pPr>
              <w:pBdr>
                <w:top w:color="auto" w:space="7" w:sz="0" w:val="none"/>
                <w:left w:color="auto" w:space="0" w:sz="0" w:val="none"/>
                <w:bottom w:color="auto" w:space="7" w:sz="0" w:val="none"/>
                <w:right w:color="auto" w:space="0" w:sz="0" w:val="none"/>
                <w:between w:color="auto" w:space="7" w:sz="0" w:val="none"/>
              </w:pBdr>
              <w:spacing w:line="240" w:lineRule="auto"/>
              <w:contextualSpacing w:val="0"/>
              <w:jc w:val="right"/>
              <w:rPr>
                <w:color w:val="220f41"/>
              </w:rPr>
            </w:pPr>
            <w:r w:rsidDel="00000000" w:rsidR="00000000" w:rsidRPr="00000000">
              <w:rPr>
                <w:color w:val="220f41"/>
                <w:rtl w:val="0"/>
              </w:rPr>
              <w:t xml:space="preserve">3,20</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pPr>
              <w:pBdr>
                <w:top w:color="auto" w:space="7" w:sz="0" w:val="none"/>
                <w:left w:color="auto" w:space="0" w:sz="0" w:val="none"/>
                <w:bottom w:color="auto" w:space="7" w:sz="0" w:val="none"/>
                <w:right w:color="auto" w:space="0" w:sz="0" w:val="none"/>
                <w:between w:color="auto" w:space="7" w:sz="0" w:val="none"/>
              </w:pBdr>
              <w:spacing w:line="240" w:lineRule="auto"/>
              <w:contextualSpacing w:val="0"/>
              <w:rPr>
                <w:color w:val="220f41"/>
              </w:rPr>
            </w:pPr>
            <w:r w:rsidDel="00000000" w:rsidR="00000000" w:rsidRPr="00000000">
              <w:rPr>
                <w:color w:val="220f41"/>
                <w:rtl w:val="0"/>
              </w:rPr>
              <w:t xml:space="preserve">Griekenland</w:t>
            </w:r>
          </w:p>
        </w:tc>
        <w:tc>
          <w:tcPr>
            <w:tcMar>
              <w:top w:w="100.0" w:type="dxa"/>
              <w:left w:w="100.0" w:type="dxa"/>
              <w:bottom w:w="100.0" w:type="dxa"/>
              <w:right w:w="100.0" w:type="dxa"/>
            </w:tcMar>
            <w:vAlign w:val="top"/>
          </w:tcPr>
          <w:p w:rsidR="00000000" w:rsidDel="00000000" w:rsidP="00000000" w:rsidRDefault="00000000" w:rsidRPr="00000000">
            <w:pPr>
              <w:pBdr>
                <w:top w:color="auto" w:space="7" w:sz="0" w:val="none"/>
                <w:left w:color="auto" w:space="0" w:sz="0" w:val="none"/>
                <w:bottom w:color="auto" w:space="7" w:sz="0" w:val="none"/>
                <w:right w:color="auto" w:space="0" w:sz="0" w:val="none"/>
                <w:between w:color="auto" w:space="7" w:sz="0" w:val="none"/>
              </w:pBdr>
              <w:spacing w:line="240" w:lineRule="auto"/>
              <w:contextualSpacing w:val="0"/>
              <w:jc w:val="right"/>
              <w:rPr>
                <w:color w:val="220f41"/>
              </w:rPr>
            </w:pPr>
            <w:r w:rsidDel="00000000" w:rsidR="00000000" w:rsidRPr="00000000">
              <w:rPr>
                <w:color w:val="220f41"/>
                <w:rtl w:val="0"/>
              </w:rPr>
              <w:t xml:space="preserve">30.495</w:t>
            </w:r>
          </w:p>
        </w:tc>
        <w:tc>
          <w:tcPr>
            <w:tcMar>
              <w:top w:w="100.0" w:type="dxa"/>
              <w:left w:w="100.0" w:type="dxa"/>
              <w:bottom w:w="100.0" w:type="dxa"/>
              <w:right w:w="100.0" w:type="dxa"/>
            </w:tcMar>
            <w:vAlign w:val="top"/>
          </w:tcPr>
          <w:p w:rsidR="00000000" w:rsidDel="00000000" w:rsidP="00000000" w:rsidRDefault="00000000" w:rsidRPr="00000000">
            <w:pPr>
              <w:pBdr>
                <w:top w:color="auto" w:space="7" w:sz="0" w:val="none"/>
                <w:left w:color="auto" w:space="0" w:sz="0" w:val="none"/>
                <w:bottom w:color="auto" w:space="7" w:sz="0" w:val="none"/>
                <w:right w:color="auto" w:space="0" w:sz="0" w:val="none"/>
                <w:between w:color="auto" w:space="7" w:sz="0" w:val="none"/>
              </w:pBdr>
              <w:spacing w:line="240" w:lineRule="auto"/>
              <w:contextualSpacing w:val="0"/>
              <w:jc w:val="right"/>
              <w:rPr>
                <w:color w:val="220f41"/>
              </w:rPr>
            </w:pPr>
            <w:r w:rsidDel="00000000" w:rsidR="00000000" w:rsidRPr="00000000">
              <w:rPr>
                <w:color w:val="220f41"/>
                <w:rtl w:val="0"/>
              </w:rPr>
              <w:t xml:space="preserve">2,83</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color w:val="220f41"/>
              </w:rPr>
            </w:pPr>
            <w:r w:rsidDel="00000000" w:rsidR="00000000" w:rsidRPr="00000000">
              <w:rPr>
                <w:color w:val="220f41"/>
                <w:rtl w:val="0"/>
              </w:rPr>
              <w:t xml:space="preserve">Hongarije</w:t>
            </w:r>
          </w:p>
        </w:tc>
        <w:tc>
          <w:tcPr>
            <w:tcMar>
              <w:top w:w="100.0" w:type="dxa"/>
              <w:left w:w="100.0" w:type="dxa"/>
              <w:bottom w:w="100.0" w:type="dxa"/>
              <w:right w:w="100.0" w:type="dxa"/>
            </w:tcMar>
            <w:vAlign w:val="top"/>
          </w:tcPr>
          <w:p w:rsidR="00000000" w:rsidDel="00000000" w:rsidP="00000000" w:rsidRDefault="00000000" w:rsidRPr="00000000">
            <w:pPr>
              <w:pBdr>
                <w:top w:color="auto" w:space="7" w:sz="0" w:val="none"/>
                <w:left w:color="auto" w:space="0" w:sz="0" w:val="none"/>
                <w:bottom w:color="auto" w:space="7" w:sz="0" w:val="none"/>
                <w:right w:color="auto" w:space="0" w:sz="0" w:val="none"/>
                <w:between w:color="auto" w:space="7" w:sz="0" w:val="none"/>
              </w:pBdr>
              <w:spacing w:line="240" w:lineRule="auto"/>
              <w:contextualSpacing w:val="0"/>
              <w:jc w:val="right"/>
              <w:rPr>
                <w:color w:val="220f41"/>
              </w:rPr>
            </w:pPr>
            <w:r w:rsidDel="00000000" w:rsidR="00000000" w:rsidRPr="00000000">
              <w:rPr>
                <w:color w:val="220f41"/>
                <w:rtl w:val="0"/>
              </w:rPr>
              <w:t xml:space="preserve">26.875</w:t>
            </w:r>
          </w:p>
        </w:tc>
        <w:tc>
          <w:tcPr>
            <w:tcMar>
              <w:top w:w="100.0" w:type="dxa"/>
              <w:left w:w="100.0" w:type="dxa"/>
              <w:bottom w:w="100.0" w:type="dxa"/>
              <w:right w:w="100.0" w:type="dxa"/>
            </w:tcMar>
            <w:vAlign w:val="top"/>
          </w:tcPr>
          <w:p w:rsidR="00000000" w:rsidDel="00000000" w:rsidP="00000000" w:rsidRDefault="00000000" w:rsidRPr="00000000">
            <w:pPr>
              <w:pBdr>
                <w:top w:color="auto" w:space="7" w:sz="0" w:val="none"/>
                <w:left w:color="auto" w:space="0" w:sz="0" w:val="none"/>
                <w:bottom w:color="auto" w:space="7" w:sz="0" w:val="none"/>
                <w:right w:color="auto" w:space="0" w:sz="0" w:val="none"/>
                <w:between w:color="auto" w:space="7" w:sz="0" w:val="none"/>
              </w:pBdr>
              <w:spacing w:line="240" w:lineRule="auto"/>
              <w:contextualSpacing w:val="0"/>
              <w:jc w:val="right"/>
              <w:rPr>
                <w:color w:val="220f41"/>
              </w:rPr>
            </w:pPr>
            <w:r w:rsidDel="00000000" w:rsidR="00000000" w:rsidRPr="00000000">
              <w:rPr>
                <w:color w:val="220f41"/>
                <w:rtl w:val="0"/>
              </w:rPr>
              <w:t xml:space="preserve">2,73</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color w:val="220f41"/>
              </w:rPr>
            </w:pPr>
            <w:r w:rsidDel="00000000" w:rsidR="00000000" w:rsidRPr="00000000">
              <w:rPr>
                <w:color w:val="220f41"/>
                <w:rtl w:val="0"/>
              </w:rPr>
              <w:t xml:space="preserve">Luxemburg</w:t>
            </w:r>
          </w:p>
        </w:tc>
        <w:tc>
          <w:tcPr>
            <w:tcMar>
              <w:top w:w="100.0" w:type="dxa"/>
              <w:left w:w="100.0" w:type="dxa"/>
              <w:bottom w:w="100.0" w:type="dxa"/>
              <w:right w:w="100.0" w:type="dxa"/>
            </w:tcMar>
            <w:vAlign w:val="top"/>
          </w:tcPr>
          <w:p w:rsidR="00000000" w:rsidDel="00000000" w:rsidP="00000000" w:rsidRDefault="00000000" w:rsidRPr="00000000">
            <w:pPr>
              <w:pBdr>
                <w:top w:color="auto" w:space="7" w:sz="0" w:val="none"/>
                <w:left w:color="auto" w:space="0" w:sz="0" w:val="none"/>
                <w:bottom w:color="auto" w:space="7" w:sz="0" w:val="none"/>
                <w:right w:color="auto" w:space="0" w:sz="0" w:val="none"/>
                <w:between w:color="auto" w:space="7" w:sz="0" w:val="none"/>
              </w:pBdr>
              <w:spacing w:line="240" w:lineRule="auto"/>
              <w:contextualSpacing w:val="0"/>
              <w:jc w:val="right"/>
              <w:rPr>
                <w:color w:val="220f41"/>
              </w:rPr>
            </w:pPr>
            <w:r w:rsidDel="00000000" w:rsidR="00000000" w:rsidRPr="00000000">
              <w:rPr>
                <w:color w:val="220f41"/>
                <w:rtl w:val="0"/>
              </w:rPr>
              <w:t xml:space="preserve">1.490</w:t>
            </w:r>
          </w:p>
        </w:tc>
        <w:tc>
          <w:tcPr>
            <w:tcMar>
              <w:top w:w="100.0" w:type="dxa"/>
              <w:left w:w="100.0" w:type="dxa"/>
              <w:bottom w:w="100.0" w:type="dxa"/>
              <w:right w:w="100.0" w:type="dxa"/>
            </w:tcMar>
            <w:vAlign w:val="top"/>
          </w:tcPr>
          <w:p w:rsidR="00000000" w:rsidDel="00000000" w:rsidP="00000000" w:rsidRDefault="00000000" w:rsidRPr="00000000">
            <w:pPr>
              <w:pBdr>
                <w:top w:color="auto" w:space="7" w:sz="0" w:val="none"/>
                <w:left w:color="auto" w:space="0" w:sz="0" w:val="none"/>
                <w:bottom w:color="auto" w:space="7" w:sz="0" w:val="none"/>
                <w:right w:color="auto" w:space="0" w:sz="0" w:val="none"/>
                <w:between w:color="auto" w:space="7" w:sz="0" w:val="none"/>
              </w:pBdr>
              <w:spacing w:line="240" w:lineRule="auto"/>
              <w:contextualSpacing w:val="0"/>
              <w:jc w:val="right"/>
              <w:rPr>
                <w:color w:val="220f41"/>
              </w:rPr>
            </w:pPr>
            <w:r w:rsidDel="00000000" w:rsidR="00000000" w:rsidRPr="00000000">
              <w:rPr>
                <w:color w:val="220f41"/>
                <w:rtl w:val="0"/>
              </w:rPr>
              <w:t xml:space="preserve">2,59</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color w:val="220f41"/>
              </w:rPr>
            </w:pPr>
            <w:r w:rsidDel="00000000" w:rsidR="00000000" w:rsidRPr="00000000">
              <w:rPr>
                <w:color w:val="220f41"/>
                <w:rtl w:val="0"/>
              </w:rPr>
              <w:t xml:space="preserve">Cyprus</w:t>
            </w:r>
          </w:p>
        </w:tc>
        <w:tc>
          <w:tcPr>
            <w:tcMar>
              <w:top w:w="100.0" w:type="dxa"/>
              <w:left w:w="100.0" w:type="dxa"/>
              <w:bottom w:w="100.0" w:type="dxa"/>
              <w:right w:w="100.0" w:type="dxa"/>
            </w:tcMar>
            <w:vAlign w:val="top"/>
          </w:tcPr>
          <w:p w:rsidR="00000000" w:rsidDel="00000000" w:rsidP="00000000" w:rsidRDefault="00000000" w:rsidRPr="00000000">
            <w:pPr>
              <w:pBdr>
                <w:top w:color="auto" w:space="7" w:sz="0" w:val="none"/>
                <w:left w:color="auto" w:space="0" w:sz="0" w:val="none"/>
                <w:bottom w:color="auto" w:space="7" w:sz="0" w:val="none"/>
                <w:right w:color="auto" w:space="0" w:sz="0" w:val="none"/>
                <w:between w:color="auto" w:space="7" w:sz="0" w:val="none"/>
              </w:pBdr>
              <w:spacing w:line="240" w:lineRule="auto"/>
              <w:contextualSpacing w:val="0"/>
              <w:jc w:val="right"/>
              <w:rPr>
                <w:color w:val="220f41"/>
              </w:rPr>
            </w:pPr>
            <w:r w:rsidDel="00000000" w:rsidR="00000000" w:rsidRPr="00000000">
              <w:rPr>
                <w:color w:val="220f41"/>
                <w:rtl w:val="0"/>
              </w:rPr>
              <w:t xml:space="preserve">1.920</w:t>
            </w:r>
          </w:p>
        </w:tc>
        <w:tc>
          <w:tcPr>
            <w:tcMar>
              <w:top w:w="100.0" w:type="dxa"/>
              <w:left w:w="100.0" w:type="dxa"/>
              <w:bottom w:w="100.0" w:type="dxa"/>
              <w:right w:w="100.0" w:type="dxa"/>
            </w:tcMar>
            <w:vAlign w:val="top"/>
          </w:tcPr>
          <w:p w:rsidR="00000000" w:rsidDel="00000000" w:rsidP="00000000" w:rsidRDefault="00000000" w:rsidRPr="00000000">
            <w:pPr>
              <w:pBdr>
                <w:top w:color="auto" w:space="7" w:sz="0" w:val="none"/>
                <w:left w:color="auto" w:space="0" w:sz="0" w:val="none"/>
                <w:bottom w:color="auto" w:space="7" w:sz="0" w:val="none"/>
                <w:right w:color="auto" w:space="0" w:sz="0" w:val="none"/>
                <w:between w:color="auto" w:space="7" w:sz="0" w:val="none"/>
              </w:pBdr>
              <w:spacing w:line="240" w:lineRule="auto"/>
              <w:contextualSpacing w:val="0"/>
              <w:jc w:val="right"/>
              <w:rPr>
                <w:color w:val="220f41"/>
              </w:rPr>
            </w:pPr>
            <w:r w:rsidDel="00000000" w:rsidR="00000000" w:rsidRPr="00000000">
              <w:rPr>
                <w:color w:val="220f41"/>
                <w:rtl w:val="0"/>
              </w:rPr>
              <w:t xml:space="preserve"> 2,26</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color w:val="220f41"/>
              </w:rPr>
            </w:pPr>
            <w:r w:rsidDel="00000000" w:rsidR="00000000" w:rsidRPr="00000000">
              <w:rPr>
                <w:color w:val="220f41"/>
                <w:rtl w:val="0"/>
              </w:rPr>
              <w:t xml:space="preserve">Zweden</w:t>
            </w:r>
          </w:p>
        </w:tc>
        <w:tc>
          <w:tcPr>
            <w:tcMar>
              <w:top w:w="100.0" w:type="dxa"/>
              <w:left w:w="100.0" w:type="dxa"/>
              <w:bottom w:w="100.0" w:type="dxa"/>
              <w:right w:w="100.0" w:type="dxa"/>
            </w:tcMar>
            <w:vAlign w:val="top"/>
          </w:tcPr>
          <w:p w:rsidR="00000000" w:rsidDel="00000000" w:rsidP="00000000" w:rsidRDefault="00000000" w:rsidRPr="00000000">
            <w:pPr>
              <w:pBdr>
                <w:top w:color="auto" w:space="7" w:sz="0" w:val="none"/>
                <w:left w:color="auto" w:space="0" w:sz="0" w:val="none"/>
                <w:bottom w:color="auto" w:space="7" w:sz="0" w:val="none"/>
                <w:right w:color="auto" w:space="0" w:sz="0" w:val="none"/>
                <w:between w:color="auto" w:space="7" w:sz="0" w:val="none"/>
              </w:pBdr>
              <w:spacing w:line="240" w:lineRule="auto"/>
              <w:contextualSpacing w:val="0"/>
              <w:jc w:val="right"/>
              <w:rPr>
                <w:color w:val="220f41"/>
              </w:rPr>
            </w:pPr>
            <w:r w:rsidDel="00000000" w:rsidR="00000000" w:rsidRPr="00000000">
              <w:rPr>
                <w:color w:val="220f41"/>
                <w:rtl w:val="0"/>
              </w:rPr>
              <w:t xml:space="preserve">22.295</w:t>
            </w:r>
          </w:p>
        </w:tc>
        <w:tc>
          <w:tcPr>
            <w:tcMar>
              <w:top w:w="100.0" w:type="dxa"/>
              <w:left w:w="100.0" w:type="dxa"/>
              <w:bottom w:w="100.0" w:type="dxa"/>
              <w:right w:w="100.0" w:type="dxa"/>
            </w:tcMar>
            <w:vAlign w:val="top"/>
          </w:tcPr>
          <w:p w:rsidR="00000000" w:rsidDel="00000000" w:rsidP="00000000" w:rsidRDefault="00000000" w:rsidRPr="00000000">
            <w:pPr>
              <w:pBdr>
                <w:top w:color="auto" w:space="7" w:sz="0" w:val="none"/>
                <w:left w:color="auto" w:space="0" w:sz="0" w:val="none"/>
                <w:bottom w:color="auto" w:space="7" w:sz="0" w:val="none"/>
                <w:right w:color="auto" w:space="0" w:sz="0" w:val="none"/>
                <w:between w:color="auto" w:space="7" w:sz="0" w:val="none"/>
              </w:pBdr>
              <w:spacing w:line="240" w:lineRule="auto"/>
              <w:contextualSpacing w:val="0"/>
              <w:jc w:val="right"/>
              <w:rPr>
                <w:color w:val="220f41"/>
              </w:rPr>
            </w:pPr>
            <w:r w:rsidDel="00000000" w:rsidR="00000000" w:rsidRPr="00000000">
              <w:rPr>
                <w:color w:val="220f41"/>
                <w:rtl w:val="0"/>
              </w:rPr>
              <w:t xml:space="preserve">2,26</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color w:val="220f41"/>
              </w:rPr>
            </w:pPr>
            <w:r w:rsidDel="00000000" w:rsidR="00000000" w:rsidRPr="00000000">
              <w:rPr>
                <w:color w:val="220f41"/>
                <w:rtl w:val="0"/>
              </w:rPr>
              <w:t xml:space="preserve">Bulgarije</w:t>
            </w:r>
          </w:p>
        </w:tc>
        <w:tc>
          <w:tcPr>
            <w:tcMar>
              <w:top w:w="100.0" w:type="dxa"/>
              <w:left w:w="100.0" w:type="dxa"/>
              <w:bottom w:w="100.0" w:type="dxa"/>
              <w:right w:w="100.0" w:type="dxa"/>
            </w:tcMar>
            <w:vAlign w:val="top"/>
          </w:tcPr>
          <w:p w:rsidR="00000000" w:rsidDel="00000000" w:rsidP="00000000" w:rsidRDefault="00000000" w:rsidRPr="00000000">
            <w:pPr>
              <w:pBdr>
                <w:top w:color="auto" w:space="7" w:sz="0" w:val="none"/>
                <w:left w:color="auto" w:space="0" w:sz="0" w:val="none"/>
                <w:bottom w:color="auto" w:space="7" w:sz="0" w:val="none"/>
                <w:right w:color="auto" w:space="0" w:sz="0" w:val="none"/>
                <w:between w:color="auto" w:space="7" w:sz="0" w:val="none"/>
              </w:pBdr>
              <w:spacing w:line="240" w:lineRule="auto"/>
              <w:contextualSpacing w:val="0"/>
              <w:jc w:val="right"/>
              <w:rPr>
                <w:color w:val="220f41"/>
              </w:rPr>
            </w:pPr>
            <w:r w:rsidDel="00000000" w:rsidR="00000000" w:rsidRPr="00000000">
              <w:rPr>
                <w:color w:val="220f41"/>
                <w:rtl w:val="0"/>
              </w:rPr>
              <w:t xml:space="preserve">14.280</w:t>
            </w:r>
          </w:p>
        </w:tc>
        <w:tc>
          <w:tcPr>
            <w:tcMar>
              <w:top w:w="100.0" w:type="dxa"/>
              <w:left w:w="100.0" w:type="dxa"/>
              <w:bottom w:w="100.0" w:type="dxa"/>
              <w:right w:w="100.0" w:type="dxa"/>
            </w:tcMar>
            <w:vAlign w:val="top"/>
          </w:tcPr>
          <w:p w:rsidR="00000000" w:rsidDel="00000000" w:rsidP="00000000" w:rsidRDefault="00000000" w:rsidRPr="00000000">
            <w:pPr>
              <w:pBdr>
                <w:top w:color="auto" w:space="7" w:sz="0" w:val="none"/>
                <w:left w:color="auto" w:space="0" w:sz="0" w:val="none"/>
                <w:bottom w:color="auto" w:space="7" w:sz="0" w:val="none"/>
                <w:right w:color="auto" w:space="0" w:sz="0" w:val="none"/>
                <w:between w:color="auto" w:space="7" w:sz="0" w:val="none"/>
              </w:pBdr>
              <w:spacing w:line="240" w:lineRule="auto"/>
              <w:contextualSpacing w:val="0"/>
              <w:jc w:val="right"/>
              <w:rPr>
                <w:color w:val="220f41"/>
              </w:rPr>
            </w:pPr>
            <w:r w:rsidDel="00000000" w:rsidR="00000000" w:rsidRPr="00000000">
              <w:rPr>
                <w:color w:val="220f41"/>
                <w:rtl w:val="0"/>
              </w:rPr>
              <w:t xml:space="preserve">2,00</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color w:val="220f41"/>
              </w:rPr>
            </w:pPr>
            <w:r w:rsidDel="00000000" w:rsidR="00000000" w:rsidRPr="00000000">
              <w:rPr>
                <w:color w:val="220f41"/>
                <w:rtl w:val="0"/>
              </w:rPr>
              <w:t xml:space="preserve">Italië</w:t>
            </w:r>
          </w:p>
        </w:tc>
        <w:tc>
          <w:tcPr>
            <w:tcMar>
              <w:top w:w="100.0" w:type="dxa"/>
              <w:left w:w="100.0" w:type="dxa"/>
              <w:bottom w:w="100.0" w:type="dxa"/>
              <w:right w:w="100.0" w:type="dxa"/>
            </w:tcMar>
            <w:vAlign w:val="top"/>
          </w:tcPr>
          <w:p w:rsidR="00000000" w:rsidDel="00000000" w:rsidP="00000000" w:rsidRDefault="00000000" w:rsidRPr="00000000">
            <w:pPr>
              <w:pBdr>
                <w:top w:color="auto" w:space="7" w:sz="0" w:val="none"/>
                <w:left w:color="auto" w:space="0" w:sz="0" w:val="none"/>
                <w:bottom w:color="auto" w:space="7" w:sz="0" w:val="none"/>
                <w:right w:color="auto" w:space="0" w:sz="0" w:val="none"/>
                <w:between w:color="auto" w:space="7" w:sz="0" w:val="none"/>
              </w:pBdr>
              <w:spacing w:line="240" w:lineRule="auto"/>
              <w:contextualSpacing w:val="0"/>
              <w:jc w:val="right"/>
              <w:rPr>
                <w:color w:val="220f41"/>
              </w:rPr>
            </w:pPr>
            <w:r w:rsidDel="00000000" w:rsidR="00000000" w:rsidRPr="00000000">
              <w:rPr>
                <w:color w:val="220f41"/>
                <w:rtl w:val="0"/>
              </w:rPr>
              <w:t xml:space="preserve">85.050</w:t>
            </w:r>
          </w:p>
        </w:tc>
        <w:tc>
          <w:tcPr>
            <w:tcMar>
              <w:top w:w="100.0" w:type="dxa"/>
              <w:left w:w="100.0" w:type="dxa"/>
              <w:bottom w:w="100.0" w:type="dxa"/>
              <w:right w:w="100.0" w:type="dxa"/>
            </w:tcMar>
            <w:vAlign w:val="top"/>
          </w:tcPr>
          <w:p w:rsidR="00000000" w:rsidDel="00000000" w:rsidP="00000000" w:rsidRDefault="00000000" w:rsidRPr="00000000">
            <w:pPr>
              <w:pBdr>
                <w:top w:color="auto" w:space="7" w:sz="0" w:val="none"/>
                <w:left w:color="auto" w:space="0" w:sz="0" w:val="none"/>
                <w:bottom w:color="auto" w:space="7" w:sz="0" w:val="none"/>
                <w:right w:color="auto" w:space="0" w:sz="0" w:val="none"/>
                <w:between w:color="auto" w:space="7" w:sz="0" w:val="none"/>
              </w:pBdr>
              <w:spacing w:line="240" w:lineRule="auto"/>
              <w:contextualSpacing w:val="0"/>
              <w:jc w:val="right"/>
              <w:rPr>
                <w:color w:val="220f41"/>
              </w:rPr>
            </w:pPr>
            <w:r w:rsidDel="00000000" w:rsidR="00000000" w:rsidRPr="00000000">
              <w:rPr>
                <w:color w:val="220f41"/>
                <w:rtl w:val="0"/>
              </w:rPr>
              <w:t xml:space="preserve"> 1,40</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color w:val="220f41"/>
              </w:rPr>
            </w:pPr>
            <w:r w:rsidDel="00000000" w:rsidR="00000000" w:rsidRPr="00000000">
              <w:rPr>
                <w:color w:val="220f41"/>
                <w:rtl w:val="0"/>
              </w:rPr>
              <w:t xml:space="preserve">België</w:t>
            </w:r>
          </w:p>
        </w:tc>
        <w:tc>
          <w:tcPr>
            <w:tcMar>
              <w:top w:w="100.0" w:type="dxa"/>
              <w:left w:w="100.0" w:type="dxa"/>
              <w:bottom w:w="100.0" w:type="dxa"/>
              <w:right w:w="100.0" w:type="dxa"/>
            </w:tcMar>
            <w:vAlign w:val="top"/>
          </w:tcPr>
          <w:p w:rsidR="00000000" w:rsidDel="00000000" w:rsidP="00000000" w:rsidRDefault="00000000" w:rsidRPr="00000000">
            <w:pPr>
              <w:pBdr>
                <w:top w:color="auto" w:space="7" w:sz="0" w:val="none"/>
                <w:left w:color="auto" w:space="0" w:sz="0" w:val="none"/>
                <w:bottom w:color="auto" w:space="7" w:sz="0" w:val="none"/>
                <w:right w:color="auto" w:space="0" w:sz="0" w:val="none"/>
                <w:between w:color="auto" w:space="7" w:sz="0" w:val="none"/>
              </w:pBdr>
              <w:spacing w:line="240" w:lineRule="auto"/>
              <w:contextualSpacing w:val="0"/>
              <w:jc w:val="right"/>
              <w:rPr>
                <w:color w:val="220f41"/>
              </w:rPr>
            </w:pPr>
            <w:r w:rsidDel="00000000" w:rsidR="00000000" w:rsidRPr="00000000">
              <w:rPr>
                <w:color w:val="220f41"/>
                <w:rtl w:val="0"/>
              </w:rPr>
              <w:t xml:space="preserve">13.680</w:t>
            </w:r>
          </w:p>
        </w:tc>
        <w:tc>
          <w:tcPr>
            <w:tcMar>
              <w:top w:w="100.0" w:type="dxa"/>
              <w:left w:w="100.0" w:type="dxa"/>
              <w:bottom w:w="100.0" w:type="dxa"/>
              <w:right w:w="100.0" w:type="dxa"/>
            </w:tcMar>
            <w:vAlign w:val="top"/>
          </w:tcPr>
          <w:p w:rsidR="00000000" w:rsidDel="00000000" w:rsidP="00000000" w:rsidRDefault="00000000" w:rsidRPr="00000000">
            <w:pPr>
              <w:pBdr>
                <w:top w:color="auto" w:space="7" w:sz="0" w:val="none"/>
                <w:left w:color="auto" w:space="0" w:sz="0" w:val="none"/>
                <w:bottom w:color="auto" w:space="7" w:sz="0" w:val="none"/>
                <w:right w:color="auto" w:space="0" w:sz="0" w:val="none"/>
                <w:between w:color="auto" w:space="7" w:sz="0" w:val="none"/>
              </w:pBdr>
              <w:spacing w:line="240" w:lineRule="auto"/>
              <w:contextualSpacing w:val="0"/>
              <w:jc w:val="right"/>
              <w:rPr>
                <w:color w:val="220f41"/>
              </w:rPr>
            </w:pPr>
            <w:r w:rsidDel="00000000" w:rsidR="00000000" w:rsidRPr="00000000">
              <w:rPr>
                <w:color w:val="220f41"/>
                <w:rtl w:val="0"/>
              </w:rPr>
              <w:t xml:space="preserve"> 1,21</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color w:val="220f41"/>
              </w:rPr>
            </w:pPr>
            <w:r w:rsidDel="00000000" w:rsidR="00000000" w:rsidRPr="00000000">
              <w:rPr>
                <w:color w:val="220f41"/>
                <w:rtl w:val="0"/>
              </w:rPr>
              <w:t xml:space="preserve">Frankrijk</w:t>
            </w:r>
          </w:p>
        </w:tc>
        <w:tc>
          <w:tcPr>
            <w:tcMar>
              <w:top w:w="100.0" w:type="dxa"/>
              <w:left w:w="100.0" w:type="dxa"/>
              <w:bottom w:w="100.0" w:type="dxa"/>
              <w:right w:w="100.0" w:type="dxa"/>
            </w:tcMar>
            <w:vAlign w:val="top"/>
          </w:tcPr>
          <w:p w:rsidR="00000000" w:rsidDel="00000000" w:rsidP="00000000" w:rsidRDefault="00000000" w:rsidRPr="00000000">
            <w:pPr>
              <w:pBdr>
                <w:top w:color="auto" w:space="7" w:sz="0" w:val="none"/>
                <w:left w:color="auto" w:space="0" w:sz="0" w:val="none"/>
                <w:bottom w:color="auto" w:space="7" w:sz="0" w:val="none"/>
                <w:right w:color="auto" w:space="0" w:sz="0" w:val="none"/>
                <w:between w:color="auto" w:space="7" w:sz="0" w:val="none"/>
              </w:pBdr>
              <w:spacing w:line="240" w:lineRule="auto"/>
              <w:contextualSpacing w:val="0"/>
              <w:jc w:val="right"/>
              <w:rPr>
                <w:color w:val="220f41"/>
              </w:rPr>
            </w:pPr>
            <w:r w:rsidDel="00000000" w:rsidR="00000000" w:rsidRPr="00000000">
              <w:rPr>
                <w:color w:val="220f41"/>
                <w:rtl w:val="0"/>
              </w:rPr>
              <w:t xml:space="preserve">61.830</w:t>
            </w:r>
          </w:p>
        </w:tc>
        <w:tc>
          <w:tcPr>
            <w:tcMar>
              <w:top w:w="100.0" w:type="dxa"/>
              <w:left w:w="100.0" w:type="dxa"/>
              <w:bottom w:w="100.0" w:type="dxa"/>
              <w:right w:w="100.0" w:type="dxa"/>
            </w:tcMar>
            <w:vAlign w:val="top"/>
          </w:tcPr>
          <w:p w:rsidR="00000000" w:rsidDel="00000000" w:rsidP="00000000" w:rsidRDefault="00000000" w:rsidRPr="00000000">
            <w:pPr>
              <w:pBdr>
                <w:top w:color="auto" w:space="7" w:sz="0" w:val="none"/>
                <w:left w:color="auto" w:space="0" w:sz="0" w:val="none"/>
                <w:bottom w:color="auto" w:space="7" w:sz="0" w:val="none"/>
                <w:right w:color="auto" w:space="0" w:sz="0" w:val="none"/>
                <w:between w:color="auto" w:space="7" w:sz="0" w:val="none"/>
              </w:pBdr>
              <w:spacing w:line="240" w:lineRule="auto"/>
              <w:contextualSpacing w:val="0"/>
              <w:jc w:val="right"/>
              <w:rPr>
                <w:color w:val="220f41"/>
              </w:rPr>
            </w:pPr>
            <w:r w:rsidDel="00000000" w:rsidR="00000000" w:rsidRPr="00000000">
              <w:rPr>
                <w:color w:val="220f41"/>
                <w:rtl w:val="0"/>
              </w:rPr>
              <w:t xml:space="preserve"> 0,93</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color w:val="220f41"/>
              </w:rPr>
            </w:pPr>
            <w:r w:rsidDel="00000000" w:rsidR="00000000" w:rsidRPr="00000000">
              <w:rPr>
                <w:color w:val="220f41"/>
                <w:rtl w:val="0"/>
              </w:rPr>
              <w:t xml:space="preserve">Denemarken</w:t>
            </w:r>
          </w:p>
        </w:tc>
        <w:tc>
          <w:tcPr>
            <w:tcMar>
              <w:top w:w="100.0" w:type="dxa"/>
              <w:left w:w="100.0" w:type="dxa"/>
              <w:bottom w:w="100.0" w:type="dxa"/>
              <w:right w:w="100.0" w:type="dxa"/>
            </w:tcMar>
            <w:vAlign w:val="top"/>
          </w:tcPr>
          <w:p w:rsidR="00000000" w:rsidDel="00000000" w:rsidP="00000000" w:rsidRDefault="00000000" w:rsidRPr="00000000">
            <w:pPr>
              <w:pBdr>
                <w:top w:color="auto" w:space="7" w:sz="0" w:val="none"/>
                <w:left w:color="auto" w:space="0" w:sz="0" w:val="none"/>
                <w:bottom w:color="auto" w:space="7" w:sz="0" w:val="none"/>
                <w:right w:color="auto" w:space="0" w:sz="0" w:val="none"/>
                <w:between w:color="auto" w:space="7" w:sz="0" w:val="none"/>
              </w:pBdr>
              <w:spacing w:line="240" w:lineRule="auto"/>
              <w:contextualSpacing w:val="0"/>
              <w:jc w:val="right"/>
              <w:rPr>
                <w:color w:val="220f41"/>
              </w:rPr>
            </w:pPr>
            <w:r w:rsidDel="00000000" w:rsidR="00000000" w:rsidRPr="00000000">
              <w:rPr>
                <w:color w:val="220f41"/>
                <w:rtl w:val="0"/>
              </w:rPr>
              <w:t xml:space="preserve"> 5.290</w:t>
            </w:r>
          </w:p>
        </w:tc>
        <w:tc>
          <w:tcPr>
            <w:tcMar>
              <w:top w:w="100.0" w:type="dxa"/>
              <w:left w:w="100.0" w:type="dxa"/>
              <w:bottom w:w="100.0" w:type="dxa"/>
              <w:right w:w="100.0" w:type="dxa"/>
            </w:tcMar>
            <w:vAlign w:val="top"/>
          </w:tcPr>
          <w:p w:rsidR="00000000" w:rsidDel="00000000" w:rsidP="00000000" w:rsidRDefault="00000000" w:rsidRPr="00000000">
            <w:pPr>
              <w:pBdr>
                <w:top w:color="auto" w:space="7" w:sz="0" w:val="none"/>
                <w:left w:color="auto" w:space="0" w:sz="0" w:val="none"/>
                <w:bottom w:color="auto" w:space="7" w:sz="0" w:val="none"/>
                <w:right w:color="auto" w:space="0" w:sz="0" w:val="none"/>
                <w:between w:color="auto" w:space="7" w:sz="0" w:val="none"/>
              </w:pBdr>
              <w:spacing w:line="240" w:lineRule="auto"/>
              <w:contextualSpacing w:val="0"/>
              <w:jc w:val="right"/>
              <w:rPr>
                <w:color w:val="220f41"/>
              </w:rPr>
            </w:pPr>
            <w:r w:rsidDel="00000000" w:rsidR="00000000" w:rsidRPr="00000000">
              <w:rPr>
                <w:color w:val="220f41"/>
                <w:rtl w:val="0"/>
              </w:rPr>
              <w:t xml:space="preserve"> 0,93</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color w:val="220f41"/>
              </w:rPr>
            </w:pPr>
            <w:r w:rsidDel="00000000" w:rsidR="00000000" w:rsidRPr="00000000">
              <w:rPr>
                <w:color w:val="220f41"/>
                <w:rtl w:val="0"/>
              </w:rPr>
              <w:t xml:space="preserve">Nederland</w:t>
            </w:r>
          </w:p>
        </w:tc>
        <w:tc>
          <w:tcPr>
            <w:tcMar>
              <w:top w:w="100.0" w:type="dxa"/>
              <w:left w:w="100.0" w:type="dxa"/>
              <w:bottom w:w="100.0" w:type="dxa"/>
              <w:right w:w="100.0" w:type="dxa"/>
            </w:tcMar>
            <w:vAlign w:val="top"/>
          </w:tcPr>
          <w:p w:rsidR="00000000" w:rsidDel="00000000" w:rsidP="00000000" w:rsidRDefault="00000000" w:rsidRPr="00000000">
            <w:pPr>
              <w:pBdr>
                <w:top w:color="auto" w:space="7" w:sz="0" w:val="none"/>
                <w:left w:color="auto" w:space="0" w:sz="0" w:val="none"/>
                <w:bottom w:color="auto" w:space="7" w:sz="0" w:val="none"/>
                <w:right w:color="auto" w:space="0" w:sz="0" w:val="none"/>
                <w:between w:color="auto" w:space="7" w:sz="0" w:val="none"/>
              </w:pBdr>
              <w:spacing w:line="240" w:lineRule="auto"/>
              <w:contextualSpacing w:val="0"/>
              <w:jc w:val="right"/>
              <w:rPr>
                <w:color w:val="220f41"/>
              </w:rPr>
            </w:pPr>
            <w:r w:rsidDel="00000000" w:rsidR="00000000" w:rsidRPr="00000000">
              <w:rPr>
                <w:color w:val="220f41"/>
                <w:rtl w:val="0"/>
              </w:rPr>
              <w:t xml:space="preserve"> 14.775</w:t>
            </w:r>
          </w:p>
        </w:tc>
        <w:tc>
          <w:tcPr>
            <w:tcMar>
              <w:top w:w="100.0" w:type="dxa"/>
              <w:left w:w="100.0" w:type="dxa"/>
              <w:bottom w:w="100.0" w:type="dxa"/>
              <w:right w:w="100.0" w:type="dxa"/>
            </w:tcMar>
            <w:vAlign w:val="top"/>
          </w:tcPr>
          <w:p w:rsidR="00000000" w:rsidDel="00000000" w:rsidP="00000000" w:rsidRDefault="00000000" w:rsidRPr="00000000">
            <w:pPr>
              <w:pBdr>
                <w:top w:color="auto" w:space="7" w:sz="0" w:val="none"/>
                <w:left w:color="auto" w:space="0" w:sz="0" w:val="none"/>
                <w:bottom w:color="auto" w:space="7" w:sz="0" w:val="none"/>
                <w:right w:color="auto" w:space="0" w:sz="0" w:val="none"/>
                <w:between w:color="auto" w:space="7" w:sz="0" w:val="none"/>
              </w:pBdr>
              <w:spacing w:line="240" w:lineRule="auto"/>
              <w:contextualSpacing w:val="0"/>
              <w:jc w:val="right"/>
              <w:rPr>
                <w:color w:val="220f41"/>
              </w:rPr>
            </w:pPr>
            <w:r w:rsidDel="00000000" w:rsidR="00000000" w:rsidRPr="00000000">
              <w:rPr>
                <w:color w:val="220f41"/>
                <w:rtl w:val="0"/>
              </w:rPr>
              <w:t xml:space="preserve"> 0,87</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color w:val="220f41"/>
              </w:rPr>
            </w:pPr>
            <w:r w:rsidDel="00000000" w:rsidR="00000000" w:rsidRPr="00000000">
              <w:rPr>
                <w:color w:val="220f41"/>
                <w:rtl w:val="0"/>
              </w:rPr>
              <w:t xml:space="preserve">Finland</w:t>
            </w:r>
          </w:p>
        </w:tc>
        <w:tc>
          <w:tcPr>
            <w:tcMar>
              <w:top w:w="100.0" w:type="dxa"/>
              <w:left w:w="100.0" w:type="dxa"/>
              <w:bottom w:w="100.0" w:type="dxa"/>
              <w:right w:w="100.0" w:type="dxa"/>
            </w:tcMar>
            <w:vAlign w:val="top"/>
          </w:tcPr>
          <w:p w:rsidR="00000000" w:rsidDel="00000000" w:rsidP="00000000" w:rsidRDefault="00000000" w:rsidRPr="00000000">
            <w:pPr>
              <w:pBdr>
                <w:top w:color="auto" w:space="7" w:sz="0" w:val="none"/>
                <w:left w:color="auto" w:space="0" w:sz="0" w:val="none"/>
                <w:bottom w:color="auto" w:space="7" w:sz="0" w:val="none"/>
                <w:right w:color="auto" w:space="0" w:sz="0" w:val="none"/>
                <w:between w:color="auto" w:space="7" w:sz="0" w:val="none"/>
              </w:pBdr>
              <w:spacing w:line="240" w:lineRule="auto"/>
              <w:contextualSpacing w:val="0"/>
              <w:jc w:val="right"/>
              <w:rPr>
                <w:color w:val="220f41"/>
              </w:rPr>
            </w:pPr>
            <w:r w:rsidDel="00000000" w:rsidR="00000000" w:rsidRPr="00000000">
              <w:rPr>
                <w:color w:val="220f41"/>
                <w:rtl w:val="0"/>
              </w:rPr>
              <w:t xml:space="preserve"> 4.665</w:t>
            </w:r>
          </w:p>
        </w:tc>
        <w:tc>
          <w:tcPr>
            <w:tcMar>
              <w:top w:w="100.0" w:type="dxa"/>
              <w:left w:w="100.0" w:type="dxa"/>
              <w:bottom w:w="100.0" w:type="dxa"/>
              <w:right w:w="100.0" w:type="dxa"/>
            </w:tcMar>
            <w:vAlign w:val="top"/>
          </w:tcPr>
          <w:p w:rsidR="00000000" w:rsidDel="00000000" w:rsidP="00000000" w:rsidRDefault="00000000" w:rsidRPr="00000000">
            <w:pPr>
              <w:pBdr>
                <w:top w:color="auto" w:space="7" w:sz="0" w:val="none"/>
                <w:left w:color="auto" w:space="0" w:sz="0" w:val="none"/>
                <w:bottom w:color="auto" w:space="7" w:sz="0" w:val="none"/>
                <w:right w:color="auto" w:space="0" w:sz="0" w:val="none"/>
                <w:between w:color="auto" w:space="7" w:sz="0" w:val="none"/>
              </w:pBdr>
              <w:spacing w:line="240" w:lineRule="auto"/>
              <w:contextualSpacing w:val="0"/>
              <w:jc w:val="right"/>
              <w:rPr>
                <w:color w:val="220f41"/>
              </w:rPr>
            </w:pPr>
            <w:r w:rsidDel="00000000" w:rsidR="00000000" w:rsidRPr="00000000">
              <w:rPr>
                <w:color w:val="220f41"/>
                <w:rtl w:val="0"/>
              </w:rPr>
              <w:t xml:space="preserve"> 0,85</w:t>
            </w:r>
          </w:p>
        </w:tc>
      </w:tr>
      <w:tr>
        <w:trPr>
          <w:trHeight w:val="840" w:hRule="atLeast"/>
        </w:trPr>
        <w:tc>
          <w:tcP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color w:val="220f41"/>
              </w:rPr>
            </w:pPr>
            <w:r w:rsidDel="00000000" w:rsidR="00000000" w:rsidRPr="00000000">
              <w:rPr>
                <w:color w:val="220f41"/>
                <w:rtl w:val="0"/>
              </w:rPr>
              <w:t xml:space="preserve">Totaal Europese Unie-28</w:t>
            </w:r>
          </w:p>
        </w:tc>
        <w:tc>
          <w:tcPr>
            <w:tcMar>
              <w:top w:w="100.0" w:type="dxa"/>
              <w:left w:w="100.0" w:type="dxa"/>
              <w:bottom w:w="100.0" w:type="dxa"/>
              <w:right w:w="100.0" w:type="dxa"/>
            </w:tcMar>
            <w:vAlign w:val="top"/>
          </w:tcPr>
          <w:p w:rsidR="00000000" w:rsidDel="00000000" w:rsidP="00000000" w:rsidRDefault="00000000" w:rsidRPr="00000000">
            <w:pPr>
              <w:pBdr>
                <w:top w:color="auto" w:space="7" w:sz="0" w:val="none"/>
                <w:left w:color="auto" w:space="0" w:sz="0" w:val="none"/>
                <w:bottom w:color="auto" w:space="7" w:sz="0" w:val="none"/>
                <w:right w:color="auto" w:space="0" w:sz="0" w:val="none"/>
                <w:between w:color="auto" w:space="7" w:sz="0" w:val="none"/>
              </w:pBdr>
              <w:spacing w:line="240" w:lineRule="auto"/>
              <w:contextualSpacing w:val="0"/>
              <w:jc w:val="right"/>
              <w:rPr>
                <w:color w:val="220f41"/>
              </w:rPr>
            </w:pPr>
            <w:r w:rsidDel="00000000" w:rsidR="00000000" w:rsidRPr="00000000">
              <w:rPr>
                <w:color w:val="220f41"/>
                <w:rtl w:val="0"/>
              </w:rPr>
              <w:t xml:space="preserve">1.038.810</w:t>
            </w:r>
          </w:p>
        </w:tc>
        <w:tc>
          <w:tcPr>
            <w:tcMar>
              <w:top w:w="100.0" w:type="dxa"/>
              <w:left w:w="100.0" w:type="dxa"/>
              <w:bottom w:w="100.0" w:type="dxa"/>
              <w:right w:w="100.0" w:type="dxa"/>
            </w:tcMar>
            <w:vAlign w:val="top"/>
          </w:tcPr>
          <w:p w:rsidR="00000000" w:rsidDel="00000000" w:rsidP="00000000" w:rsidRDefault="00000000" w:rsidRPr="00000000">
            <w:pPr>
              <w:pBdr>
                <w:top w:color="auto" w:space="7" w:sz="0" w:val="none"/>
                <w:left w:color="auto" w:space="0" w:sz="0" w:val="none"/>
                <w:bottom w:color="auto" w:space="7" w:sz="0" w:val="none"/>
                <w:right w:color="auto" w:space="0" w:sz="0" w:val="none"/>
                <w:between w:color="auto" w:space="7" w:sz="0" w:val="none"/>
              </w:pBdr>
              <w:spacing w:line="240" w:lineRule="auto"/>
              <w:contextualSpacing w:val="0"/>
              <w:jc w:val="right"/>
              <w:rPr>
                <w:color w:val="220f41"/>
              </w:rPr>
            </w:pPr>
            <w:r w:rsidDel="00000000" w:rsidR="00000000" w:rsidRPr="00000000">
              <w:rPr>
                <w:color w:val="220f41"/>
                <w:rtl w:val="0"/>
              </w:rPr>
              <w:t xml:space="preserve"> 2,04</w:t>
            </w:r>
          </w:p>
        </w:tc>
      </w:tr>
    </w:tbl>
    <w:p w:rsidR="00000000" w:rsidDel="00000000" w:rsidP="00000000" w:rsidRDefault="00000000" w:rsidRPr="00000000">
      <w:pPr>
        <w:pBdr>
          <w:top w:color="auto" w:space="7" w:sz="0" w:val="none"/>
          <w:left w:color="auto" w:space="0" w:sz="0" w:val="none"/>
          <w:bottom w:color="auto" w:space="7" w:sz="0" w:val="none"/>
          <w:right w:color="auto" w:space="0" w:sz="0" w:val="none"/>
          <w:between w:color="auto" w:space="7" w:sz="0" w:val="none"/>
        </w:pBdr>
        <w:shd w:fill="ffffff" w:val="clear"/>
        <w:spacing w:line="240" w:lineRule="auto"/>
        <w:contextualSpacing w:val="0"/>
        <w:rPr>
          <w:color w:val="220f41"/>
        </w:rPr>
      </w:pPr>
      <w:r w:rsidDel="00000000" w:rsidR="00000000" w:rsidRPr="00000000">
        <w:rPr>
          <w:color w:val="220f41"/>
          <w:rtl w:val="0"/>
        </w:rPr>
        <w:t xml:space="preserve">Tabel bron: Min. VenJ, Rapportage Vreemdelingenketen, o.b.v. Eurostat, 2015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Bdr>
          <w:top w:color="auto" w:space="7" w:sz="0" w:val="none"/>
          <w:left w:color="auto" w:space="0" w:sz="0" w:val="none"/>
          <w:bottom w:color="auto" w:space="7" w:sz="0" w:val="none"/>
          <w:right w:color="auto" w:space="0" w:sz="0" w:val="none"/>
          <w:between w:color="auto" w:space="7" w:sz="0" w:val="none"/>
        </w:pBdr>
        <w:shd w:fill="ffffff" w:val="clear"/>
        <w:spacing w:line="240" w:lineRule="auto"/>
        <w:contextualSpacing w:val="0"/>
        <w:rPr>
          <w:color w:val="220f41"/>
        </w:rPr>
      </w:pPr>
      <w:r w:rsidDel="00000000" w:rsidR="00000000" w:rsidRPr="00000000">
        <w:rPr>
          <w:b w:val="1"/>
          <w:color w:val="220f41"/>
          <w:rtl w:val="0"/>
        </w:rPr>
        <w:t xml:space="preserve">Afkomst van Asielzoekers EU 2014</w:t>
      </w:r>
      <w:r w:rsidDel="00000000" w:rsidR="00000000" w:rsidRPr="00000000">
        <w:rPr>
          <w:color w:val="220f41"/>
          <w:rtl w:val="0"/>
        </w:rPr>
        <w:br w:type="textWrapping"/>
        <w:t xml:space="preserve">Tabel die afkomst van asielzoekers in EU  weergeeft.</w:t>
      </w:r>
      <w:r w:rsidDel="00000000" w:rsidR="00000000" w:rsidRPr="00000000">
        <w:rPr>
          <w:rtl w:val="0"/>
        </w:rPr>
      </w:r>
    </w:p>
    <w:tbl>
      <w:tblPr>
        <w:tblStyle w:val="Table2"/>
        <w:tblW w:w="5070.0" w:type="dxa"/>
        <w:jc w:val="left"/>
        <w:tblInd w:w="100.0" w:type="pct"/>
        <w:tblBorders>
          <w:top w:color="220f41" w:space="0" w:sz="5" w:val="single"/>
          <w:left w:color="000000" w:space="0" w:sz="0" w:val="nil"/>
          <w:bottom w:color="220f41" w:space="0" w:sz="5" w:val="single"/>
          <w:right w:color="000000" w:space="0" w:sz="0" w:val="nil"/>
          <w:insideH w:color="000000" w:space="0" w:sz="0" w:val="nil"/>
          <w:insideV w:color="000000" w:space="0" w:sz="0" w:val="nil"/>
        </w:tblBorders>
        <w:tblLayout w:type="fixed"/>
        <w:tblLook w:val="0600"/>
      </w:tblPr>
      <w:tblGrid>
        <w:gridCol w:w="2475"/>
        <w:gridCol w:w="1500"/>
        <w:gridCol w:w="1095"/>
        <w:tblGridChange w:id="0">
          <w:tblGrid>
            <w:gridCol w:w="2475"/>
            <w:gridCol w:w="1500"/>
            <w:gridCol w:w="1095"/>
          </w:tblGrid>
        </w:tblGridChange>
      </w:tblGrid>
      <w:tr>
        <w:tc>
          <w:tcPr>
            <w:tcMar>
              <w:top w:w="100.0" w:type="dxa"/>
              <w:left w:w="100.0" w:type="dxa"/>
              <w:bottom w:w="100.0" w:type="dxa"/>
              <w:right w:w="100.0" w:type="dxa"/>
            </w:tcMar>
            <w:vAlign w:val="top"/>
          </w:tcPr>
          <w:p w:rsidR="00000000" w:rsidDel="00000000" w:rsidP="00000000" w:rsidRDefault="00000000" w:rsidRPr="00000000">
            <w:pPr>
              <w:pBdr>
                <w:top w:color="auto" w:space="7" w:sz="0" w:val="none"/>
                <w:left w:color="auto" w:space="0" w:sz="0" w:val="none"/>
                <w:bottom w:color="auto" w:space="7" w:sz="0" w:val="none"/>
                <w:right w:color="auto" w:space="0" w:sz="0" w:val="none"/>
                <w:between w:color="auto" w:space="7" w:sz="0" w:val="none"/>
              </w:pBdr>
              <w:spacing w:line="240" w:lineRule="auto"/>
              <w:contextualSpacing w:val="0"/>
              <w:rPr>
                <w:b w:val="1"/>
                <w:color w:val="220f41"/>
              </w:rPr>
            </w:pPr>
            <w:r w:rsidDel="00000000" w:rsidR="00000000" w:rsidRPr="00000000">
              <w:rPr>
                <w:b w:val="1"/>
                <w:color w:val="220f41"/>
                <w:rtl w:val="0"/>
              </w:rPr>
              <w:t xml:space="preserve">Land van herkomst</w:t>
            </w:r>
          </w:p>
        </w:tc>
        <w:tc>
          <w:tcPr>
            <w:tcMar>
              <w:top w:w="100.0" w:type="dxa"/>
              <w:left w:w="100.0" w:type="dxa"/>
              <w:bottom w:w="100.0" w:type="dxa"/>
              <w:right w:w="100.0" w:type="dxa"/>
            </w:tcMar>
            <w:vAlign w:val="top"/>
          </w:tcPr>
          <w:p w:rsidR="00000000" w:rsidDel="00000000" w:rsidP="00000000" w:rsidRDefault="00000000" w:rsidRPr="00000000">
            <w:pPr>
              <w:pBdr>
                <w:top w:color="auto" w:space="7" w:sz="0" w:val="none"/>
                <w:left w:color="auto" w:space="0" w:sz="0" w:val="none"/>
                <w:bottom w:color="auto" w:space="7" w:sz="0" w:val="none"/>
                <w:right w:color="auto" w:space="0" w:sz="0" w:val="none"/>
                <w:between w:color="auto" w:space="7" w:sz="0" w:val="none"/>
              </w:pBdr>
              <w:spacing w:line="240" w:lineRule="auto"/>
              <w:contextualSpacing w:val="0"/>
              <w:rPr>
                <w:b w:val="1"/>
                <w:color w:val="220f41"/>
              </w:rPr>
            </w:pPr>
            <w:r w:rsidDel="00000000" w:rsidR="00000000" w:rsidRPr="00000000">
              <w:rPr>
                <w:b w:val="1"/>
                <w:color w:val="220f41"/>
                <w:rtl w:val="0"/>
              </w:rPr>
              <w:t xml:space="preserve">aantal</w:t>
            </w:r>
          </w:p>
        </w:tc>
        <w:tc>
          <w:tcPr>
            <w:tcMar>
              <w:top w:w="100.0" w:type="dxa"/>
              <w:left w:w="100.0" w:type="dxa"/>
              <w:bottom w:w="100.0" w:type="dxa"/>
              <w:right w:w="100.0" w:type="dxa"/>
            </w:tcMar>
            <w:vAlign w:val="top"/>
          </w:tcPr>
          <w:p w:rsidR="00000000" w:rsidDel="00000000" w:rsidP="00000000" w:rsidRDefault="00000000" w:rsidRPr="00000000">
            <w:pPr>
              <w:pBdr>
                <w:top w:color="auto" w:space="7" w:sz="0" w:val="none"/>
                <w:left w:color="auto" w:space="0" w:sz="0" w:val="none"/>
                <w:bottom w:color="auto" w:space="7" w:sz="0" w:val="none"/>
                <w:right w:color="auto" w:space="0" w:sz="0" w:val="none"/>
                <w:between w:color="auto" w:space="7" w:sz="0" w:val="none"/>
              </w:pBdr>
              <w:spacing w:line="240" w:lineRule="auto"/>
              <w:contextualSpacing w:val="0"/>
              <w:rPr>
                <w:b w:val="1"/>
                <w:color w:val="220f41"/>
              </w:rPr>
            </w:pPr>
            <w:r w:rsidDel="00000000" w:rsidR="00000000" w:rsidRPr="00000000">
              <w:rPr>
                <w:b w:val="1"/>
                <w:color w:val="220f41"/>
                <w:rtl w:val="0"/>
              </w:rPr>
              <w:t xml:space="preserve">percentage</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pPr>
              <w:pBdr>
                <w:top w:color="auto" w:space="7" w:sz="0" w:val="none"/>
                <w:left w:color="auto" w:space="0" w:sz="0" w:val="none"/>
                <w:bottom w:color="auto" w:space="7" w:sz="0" w:val="none"/>
                <w:right w:color="auto" w:space="0" w:sz="0" w:val="none"/>
                <w:between w:color="auto" w:space="7" w:sz="0" w:val="none"/>
              </w:pBdr>
              <w:spacing w:line="240" w:lineRule="auto"/>
              <w:contextualSpacing w:val="0"/>
              <w:rPr>
                <w:color w:val="220f41"/>
              </w:rPr>
            </w:pPr>
            <w:r w:rsidDel="00000000" w:rsidR="00000000" w:rsidRPr="00000000">
              <w:rPr>
                <w:color w:val="220f41"/>
                <w:rtl w:val="0"/>
              </w:rPr>
              <w:t xml:space="preserve">Syrië</w:t>
            </w:r>
          </w:p>
        </w:tc>
        <w:tc>
          <w:tcPr>
            <w:tcMar>
              <w:top w:w="100.0" w:type="dxa"/>
              <w:left w:w="100.0" w:type="dxa"/>
              <w:bottom w:w="100.0" w:type="dxa"/>
              <w:right w:w="100.0" w:type="dxa"/>
            </w:tcMar>
            <w:vAlign w:val="top"/>
          </w:tcPr>
          <w:p w:rsidR="00000000" w:rsidDel="00000000" w:rsidP="00000000" w:rsidRDefault="00000000" w:rsidRPr="00000000">
            <w:pPr>
              <w:pBdr>
                <w:top w:color="auto" w:space="7" w:sz="0" w:val="none"/>
                <w:left w:color="auto" w:space="0" w:sz="0" w:val="none"/>
                <w:bottom w:color="auto" w:space="7" w:sz="0" w:val="none"/>
                <w:right w:color="auto" w:space="0" w:sz="0" w:val="none"/>
                <w:between w:color="auto" w:space="7" w:sz="0" w:val="none"/>
              </w:pBdr>
              <w:spacing w:line="240" w:lineRule="auto"/>
              <w:contextualSpacing w:val="0"/>
              <w:rPr>
                <w:color w:val="220f41"/>
              </w:rPr>
            </w:pPr>
            <w:r w:rsidDel="00000000" w:rsidR="00000000" w:rsidRPr="00000000">
              <w:rPr>
                <w:color w:val="220f41"/>
                <w:rtl w:val="0"/>
              </w:rPr>
              <w:t xml:space="preserve">14.663</w:t>
            </w:r>
          </w:p>
        </w:tc>
        <w:tc>
          <w:tcPr>
            <w:tcMar>
              <w:top w:w="100.0" w:type="dxa"/>
              <w:left w:w="100.0" w:type="dxa"/>
              <w:bottom w:w="100.0" w:type="dxa"/>
              <w:right w:w="100.0" w:type="dxa"/>
            </w:tcMar>
            <w:vAlign w:val="top"/>
          </w:tcPr>
          <w:p w:rsidR="00000000" w:rsidDel="00000000" w:rsidP="00000000" w:rsidRDefault="00000000" w:rsidRPr="00000000">
            <w:pPr>
              <w:pBdr>
                <w:top w:color="auto" w:space="7" w:sz="0" w:val="none"/>
                <w:left w:color="auto" w:space="0" w:sz="0" w:val="none"/>
                <w:bottom w:color="auto" w:space="7" w:sz="0" w:val="none"/>
                <w:right w:color="auto" w:space="0" w:sz="0" w:val="none"/>
                <w:between w:color="auto" w:space="7" w:sz="0" w:val="none"/>
              </w:pBdr>
              <w:spacing w:line="240" w:lineRule="auto"/>
              <w:contextualSpacing w:val="0"/>
              <w:rPr>
                <w:color w:val="220f41"/>
              </w:rPr>
            </w:pPr>
            <w:r w:rsidDel="00000000" w:rsidR="00000000" w:rsidRPr="00000000">
              <w:rPr>
                <w:color w:val="220f41"/>
                <w:rtl w:val="0"/>
              </w:rPr>
              <w:t xml:space="preserve">40%</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pPr>
              <w:pBdr>
                <w:top w:color="auto" w:space="7" w:sz="0" w:val="none"/>
                <w:left w:color="auto" w:space="0" w:sz="0" w:val="none"/>
                <w:bottom w:color="auto" w:space="7" w:sz="0" w:val="none"/>
                <w:right w:color="auto" w:space="0" w:sz="0" w:val="none"/>
                <w:between w:color="auto" w:space="7" w:sz="0" w:val="none"/>
              </w:pBdr>
              <w:spacing w:line="240" w:lineRule="auto"/>
              <w:contextualSpacing w:val="0"/>
              <w:rPr>
                <w:color w:val="220f41"/>
              </w:rPr>
            </w:pPr>
            <w:r w:rsidDel="00000000" w:rsidR="00000000" w:rsidRPr="00000000">
              <w:rPr>
                <w:color w:val="220f41"/>
                <w:rtl w:val="0"/>
              </w:rPr>
              <w:t xml:space="preserve">Eritrea</w:t>
            </w:r>
          </w:p>
        </w:tc>
        <w:tc>
          <w:tcPr>
            <w:tcMar>
              <w:top w:w="100.0" w:type="dxa"/>
              <w:left w:w="100.0" w:type="dxa"/>
              <w:bottom w:w="100.0" w:type="dxa"/>
              <w:right w:w="100.0" w:type="dxa"/>
            </w:tcMar>
            <w:vAlign w:val="top"/>
          </w:tcPr>
          <w:p w:rsidR="00000000" w:rsidDel="00000000" w:rsidP="00000000" w:rsidRDefault="00000000" w:rsidRPr="00000000">
            <w:pPr>
              <w:pBdr>
                <w:top w:color="auto" w:space="7" w:sz="0" w:val="none"/>
                <w:left w:color="auto" w:space="0" w:sz="0" w:val="none"/>
                <w:bottom w:color="auto" w:space="7" w:sz="0" w:val="none"/>
                <w:right w:color="auto" w:space="0" w:sz="0" w:val="none"/>
                <w:between w:color="auto" w:space="7" w:sz="0" w:val="none"/>
              </w:pBdr>
              <w:spacing w:line="240" w:lineRule="auto"/>
              <w:contextualSpacing w:val="0"/>
              <w:rPr>
                <w:color w:val="220f41"/>
              </w:rPr>
            </w:pPr>
            <w:r w:rsidDel="00000000" w:rsidR="00000000" w:rsidRPr="00000000">
              <w:rPr>
                <w:color w:val="220f41"/>
                <w:rtl w:val="0"/>
              </w:rPr>
              <w:t xml:space="preserve"> 3.712</w:t>
            </w:r>
          </w:p>
        </w:tc>
        <w:tc>
          <w:tcP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color w:val="220f41"/>
              </w:rPr>
            </w:pPr>
            <w:r w:rsidDel="00000000" w:rsidR="00000000" w:rsidRPr="00000000">
              <w:rPr>
                <w:color w:val="220f41"/>
                <w:rtl w:val="0"/>
              </w:rPr>
              <w:t xml:space="preserve">10% </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pPr>
              <w:pBdr>
                <w:top w:color="auto" w:space="7" w:sz="0" w:val="none"/>
                <w:left w:color="auto" w:space="0" w:sz="0" w:val="none"/>
                <w:bottom w:color="auto" w:space="7" w:sz="0" w:val="none"/>
                <w:right w:color="auto" w:space="0" w:sz="0" w:val="none"/>
                <w:between w:color="auto" w:space="7" w:sz="0" w:val="none"/>
              </w:pBdr>
              <w:spacing w:line="240" w:lineRule="auto"/>
              <w:contextualSpacing w:val="0"/>
              <w:rPr>
                <w:color w:val="220f41"/>
              </w:rPr>
            </w:pPr>
            <w:r w:rsidDel="00000000" w:rsidR="00000000" w:rsidRPr="00000000">
              <w:rPr>
                <w:color w:val="220f41"/>
                <w:rtl w:val="0"/>
              </w:rPr>
              <w:t xml:space="preserve">Stateloos</w:t>
            </w:r>
          </w:p>
        </w:tc>
        <w:tc>
          <w:tcPr>
            <w:tcMar>
              <w:top w:w="100.0" w:type="dxa"/>
              <w:left w:w="100.0" w:type="dxa"/>
              <w:bottom w:w="100.0" w:type="dxa"/>
              <w:right w:w="100.0" w:type="dxa"/>
            </w:tcMar>
            <w:vAlign w:val="top"/>
          </w:tcPr>
          <w:p w:rsidR="00000000" w:rsidDel="00000000" w:rsidP="00000000" w:rsidRDefault="00000000" w:rsidRPr="00000000">
            <w:pPr>
              <w:pBdr>
                <w:top w:color="auto" w:space="7" w:sz="0" w:val="none"/>
                <w:left w:color="auto" w:space="0" w:sz="0" w:val="none"/>
                <w:bottom w:color="auto" w:space="7" w:sz="0" w:val="none"/>
                <w:right w:color="auto" w:space="0" w:sz="0" w:val="none"/>
                <w:between w:color="auto" w:space="7" w:sz="0" w:val="none"/>
              </w:pBdr>
              <w:spacing w:line="240" w:lineRule="auto"/>
              <w:contextualSpacing w:val="0"/>
              <w:rPr>
                <w:color w:val="220f41"/>
              </w:rPr>
            </w:pPr>
            <w:r w:rsidDel="00000000" w:rsidR="00000000" w:rsidRPr="00000000">
              <w:rPr>
                <w:color w:val="220f41"/>
                <w:rtl w:val="0"/>
              </w:rPr>
              <w:t xml:space="preserve"> 2.137</w:t>
            </w:r>
          </w:p>
        </w:tc>
        <w:tc>
          <w:tcPr>
            <w:tcMar>
              <w:top w:w="100.0" w:type="dxa"/>
              <w:left w:w="100.0" w:type="dxa"/>
              <w:bottom w:w="100.0" w:type="dxa"/>
              <w:right w:w="100.0" w:type="dxa"/>
            </w:tcMar>
            <w:vAlign w:val="top"/>
          </w:tcPr>
          <w:p w:rsidR="00000000" w:rsidDel="00000000" w:rsidP="00000000" w:rsidRDefault="00000000" w:rsidRPr="00000000">
            <w:pPr>
              <w:pBdr>
                <w:top w:color="auto" w:space="7" w:sz="0" w:val="none"/>
                <w:left w:color="auto" w:space="0" w:sz="0" w:val="none"/>
                <w:bottom w:color="auto" w:space="7" w:sz="0" w:val="none"/>
                <w:right w:color="auto" w:space="0" w:sz="0" w:val="none"/>
                <w:between w:color="auto" w:space="7" w:sz="0" w:val="none"/>
              </w:pBdr>
              <w:spacing w:line="240" w:lineRule="auto"/>
              <w:contextualSpacing w:val="0"/>
              <w:rPr>
                <w:color w:val="220f41"/>
              </w:rPr>
            </w:pPr>
            <w:r w:rsidDel="00000000" w:rsidR="00000000" w:rsidRPr="00000000">
              <w:rPr>
                <w:color w:val="220f41"/>
                <w:rtl w:val="0"/>
              </w:rPr>
              <w:t xml:space="preserve"> 6%</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pPr>
              <w:pBdr>
                <w:top w:color="auto" w:space="7" w:sz="0" w:val="none"/>
                <w:left w:color="auto" w:space="0" w:sz="0" w:val="none"/>
                <w:bottom w:color="auto" w:space="7" w:sz="0" w:val="none"/>
                <w:right w:color="auto" w:space="0" w:sz="0" w:val="none"/>
                <w:between w:color="auto" w:space="7" w:sz="0" w:val="none"/>
              </w:pBdr>
              <w:spacing w:line="240" w:lineRule="auto"/>
              <w:contextualSpacing w:val="0"/>
              <w:rPr>
                <w:color w:val="220f41"/>
              </w:rPr>
            </w:pPr>
            <w:r w:rsidDel="00000000" w:rsidR="00000000" w:rsidRPr="00000000">
              <w:rPr>
                <w:color w:val="220f41"/>
                <w:rtl w:val="0"/>
              </w:rPr>
              <w:t xml:space="preserve">Marokko</w:t>
            </w:r>
          </w:p>
        </w:tc>
        <w:tc>
          <w:tcPr>
            <w:tcMar>
              <w:top w:w="100.0" w:type="dxa"/>
              <w:left w:w="100.0" w:type="dxa"/>
              <w:bottom w:w="100.0" w:type="dxa"/>
              <w:right w:w="100.0" w:type="dxa"/>
            </w:tcMar>
            <w:vAlign w:val="top"/>
          </w:tcPr>
          <w:p w:rsidR="00000000" w:rsidDel="00000000" w:rsidP="00000000" w:rsidRDefault="00000000" w:rsidRPr="00000000">
            <w:pPr>
              <w:pBdr>
                <w:top w:color="auto" w:space="7" w:sz="0" w:val="none"/>
                <w:left w:color="auto" w:space="0" w:sz="0" w:val="none"/>
                <w:bottom w:color="auto" w:space="7" w:sz="0" w:val="none"/>
                <w:right w:color="auto" w:space="0" w:sz="0" w:val="none"/>
                <w:between w:color="auto" w:space="7" w:sz="0" w:val="none"/>
              </w:pBdr>
              <w:spacing w:line="240" w:lineRule="auto"/>
              <w:contextualSpacing w:val="0"/>
              <w:rPr>
                <w:color w:val="220f41"/>
              </w:rPr>
            </w:pPr>
            <w:r w:rsidDel="00000000" w:rsidR="00000000" w:rsidRPr="00000000">
              <w:rPr>
                <w:color w:val="220f41"/>
                <w:rtl w:val="0"/>
              </w:rPr>
              <w:t xml:space="preserve"> 1.724</w:t>
            </w:r>
          </w:p>
        </w:tc>
        <w:tc>
          <w:tcPr>
            <w:tcMar>
              <w:top w:w="100.0" w:type="dxa"/>
              <w:left w:w="100.0" w:type="dxa"/>
              <w:bottom w:w="100.0" w:type="dxa"/>
              <w:right w:w="100.0" w:type="dxa"/>
            </w:tcMar>
            <w:vAlign w:val="top"/>
          </w:tcPr>
          <w:p w:rsidR="00000000" w:rsidDel="00000000" w:rsidP="00000000" w:rsidRDefault="00000000" w:rsidRPr="00000000">
            <w:pPr>
              <w:pBdr>
                <w:top w:color="auto" w:space="7" w:sz="0" w:val="none"/>
                <w:left w:color="auto" w:space="0" w:sz="0" w:val="none"/>
                <w:bottom w:color="auto" w:space="7" w:sz="0" w:val="none"/>
                <w:right w:color="auto" w:space="0" w:sz="0" w:val="none"/>
                <w:between w:color="auto" w:space="7" w:sz="0" w:val="none"/>
              </w:pBdr>
              <w:spacing w:line="240" w:lineRule="auto"/>
              <w:contextualSpacing w:val="0"/>
              <w:rPr>
                <w:color w:val="220f41"/>
              </w:rPr>
            </w:pPr>
            <w:r w:rsidDel="00000000" w:rsidR="00000000" w:rsidRPr="00000000">
              <w:rPr>
                <w:color w:val="220f41"/>
                <w:rtl w:val="0"/>
              </w:rPr>
              <w:t xml:space="preserve"> 5%</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pPr>
              <w:pBdr>
                <w:top w:color="auto" w:space="7" w:sz="0" w:val="none"/>
                <w:left w:color="auto" w:space="0" w:sz="0" w:val="none"/>
                <w:bottom w:color="auto" w:space="7" w:sz="0" w:val="none"/>
                <w:right w:color="auto" w:space="0" w:sz="0" w:val="none"/>
                <w:between w:color="auto" w:space="7" w:sz="0" w:val="none"/>
              </w:pBdr>
              <w:spacing w:line="240" w:lineRule="auto"/>
              <w:contextualSpacing w:val="0"/>
              <w:rPr>
                <w:color w:val="220f41"/>
              </w:rPr>
            </w:pPr>
            <w:r w:rsidDel="00000000" w:rsidR="00000000" w:rsidRPr="00000000">
              <w:rPr>
                <w:color w:val="220f41"/>
                <w:rtl w:val="0"/>
              </w:rPr>
              <w:t xml:space="preserve">Algerije</w:t>
            </w:r>
          </w:p>
        </w:tc>
        <w:tc>
          <w:tcP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color w:val="220f41"/>
              </w:rPr>
            </w:pPr>
            <w:r w:rsidDel="00000000" w:rsidR="00000000" w:rsidRPr="00000000">
              <w:rPr>
                <w:color w:val="220f41"/>
                <w:rtl w:val="0"/>
              </w:rPr>
              <w:t xml:space="preserve"> 1.371</w:t>
            </w:r>
          </w:p>
        </w:tc>
        <w:tc>
          <w:tcP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color w:val="220f41"/>
              </w:rPr>
            </w:pPr>
            <w:r w:rsidDel="00000000" w:rsidR="00000000" w:rsidRPr="00000000">
              <w:rPr>
                <w:color w:val="220f41"/>
                <w:rtl w:val="0"/>
              </w:rPr>
              <w:t xml:space="preserve"> 4% </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pPr>
              <w:pBdr>
                <w:top w:color="auto" w:space="7" w:sz="0" w:val="none"/>
                <w:left w:color="auto" w:space="0" w:sz="0" w:val="none"/>
                <w:bottom w:color="auto" w:space="7" w:sz="0" w:val="none"/>
                <w:right w:color="auto" w:space="0" w:sz="0" w:val="none"/>
                <w:between w:color="auto" w:space="7" w:sz="0" w:val="none"/>
              </w:pBdr>
              <w:spacing w:line="240" w:lineRule="auto"/>
              <w:contextualSpacing w:val="0"/>
              <w:rPr>
                <w:color w:val="220f41"/>
              </w:rPr>
            </w:pPr>
            <w:r w:rsidDel="00000000" w:rsidR="00000000" w:rsidRPr="00000000">
              <w:rPr>
                <w:color w:val="220f41"/>
                <w:rtl w:val="0"/>
              </w:rPr>
              <w:t xml:space="preserve">Irak</w:t>
            </w:r>
          </w:p>
        </w:tc>
        <w:tc>
          <w:tcPr>
            <w:tcMar>
              <w:top w:w="100.0" w:type="dxa"/>
              <w:left w:w="100.0" w:type="dxa"/>
              <w:bottom w:w="100.0" w:type="dxa"/>
              <w:right w:w="100.0" w:type="dxa"/>
            </w:tcMar>
            <w:vAlign w:val="top"/>
          </w:tcPr>
          <w:p w:rsidR="00000000" w:rsidDel="00000000" w:rsidP="00000000" w:rsidRDefault="00000000" w:rsidRPr="00000000">
            <w:pPr>
              <w:pBdr>
                <w:top w:color="auto" w:space="7" w:sz="0" w:val="none"/>
                <w:left w:color="auto" w:space="0" w:sz="0" w:val="none"/>
                <w:bottom w:color="auto" w:space="7" w:sz="0" w:val="none"/>
                <w:right w:color="auto" w:space="0" w:sz="0" w:val="none"/>
                <w:between w:color="auto" w:space="7" w:sz="0" w:val="none"/>
              </w:pBdr>
              <w:spacing w:line="240" w:lineRule="auto"/>
              <w:contextualSpacing w:val="0"/>
              <w:rPr>
                <w:color w:val="220f41"/>
              </w:rPr>
            </w:pPr>
            <w:r w:rsidDel="00000000" w:rsidR="00000000" w:rsidRPr="00000000">
              <w:rPr>
                <w:color w:val="220f41"/>
                <w:rtl w:val="0"/>
              </w:rPr>
              <w:t xml:space="preserve"> 1.214</w:t>
            </w:r>
          </w:p>
        </w:tc>
        <w:tc>
          <w:tcPr>
            <w:tcMar>
              <w:top w:w="100.0" w:type="dxa"/>
              <w:left w:w="100.0" w:type="dxa"/>
              <w:bottom w:w="100.0" w:type="dxa"/>
              <w:right w:w="100.0" w:type="dxa"/>
            </w:tcMar>
            <w:vAlign w:val="top"/>
          </w:tcPr>
          <w:p w:rsidR="00000000" w:rsidDel="00000000" w:rsidP="00000000" w:rsidRDefault="00000000" w:rsidRPr="00000000">
            <w:pPr>
              <w:pBdr>
                <w:top w:color="auto" w:space="7" w:sz="0" w:val="none"/>
                <w:left w:color="auto" w:space="0" w:sz="0" w:val="none"/>
                <w:bottom w:color="auto" w:space="7" w:sz="0" w:val="none"/>
                <w:right w:color="auto" w:space="0" w:sz="0" w:val="none"/>
                <w:between w:color="auto" w:space="7" w:sz="0" w:val="none"/>
              </w:pBdr>
              <w:spacing w:line="240" w:lineRule="auto"/>
              <w:contextualSpacing w:val="0"/>
              <w:rPr>
                <w:color w:val="220f41"/>
              </w:rPr>
            </w:pPr>
            <w:r w:rsidDel="00000000" w:rsidR="00000000" w:rsidRPr="00000000">
              <w:rPr>
                <w:color w:val="220f41"/>
                <w:rtl w:val="0"/>
              </w:rPr>
              <w:t xml:space="preserve"> 3%</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pPr>
              <w:pBdr>
                <w:top w:color="auto" w:space="7" w:sz="0" w:val="none"/>
                <w:left w:color="auto" w:space="0" w:sz="0" w:val="none"/>
                <w:bottom w:color="auto" w:space="7" w:sz="0" w:val="none"/>
                <w:right w:color="auto" w:space="0" w:sz="0" w:val="none"/>
                <w:between w:color="auto" w:space="7" w:sz="0" w:val="none"/>
              </w:pBdr>
              <w:spacing w:line="240" w:lineRule="auto"/>
              <w:contextualSpacing w:val="0"/>
              <w:rPr>
                <w:color w:val="220f41"/>
              </w:rPr>
            </w:pPr>
            <w:r w:rsidDel="00000000" w:rsidR="00000000" w:rsidRPr="00000000">
              <w:rPr>
                <w:color w:val="220f41"/>
                <w:rtl w:val="0"/>
              </w:rPr>
              <w:t xml:space="preserve">Afghanistan</w:t>
            </w:r>
          </w:p>
        </w:tc>
        <w:tc>
          <w:tcP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color w:val="220f41"/>
              </w:rPr>
            </w:pPr>
            <w:r w:rsidDel="00000000" w:rsidR="00000000" w:rsidRPr="00000000">
              <w:rPr>
                <w:color w:val="220f41"/>
                <w:rtl w:val="0"/>
              </w:rPr>
              <w:t xml:space="preserve">   949</w:t>
            </w:r>
          </w:p>
        </w:tc>
        <w:tc>
          <w:tcP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color w:val="220f41"/>
              </w:rPr>
            </w:pPr>
            <w:r w:rsidDel="00000000" w:rsidR="00000000" w:rsidRPr="00000000">
              <w:rPr>
                <w:color w:val="220f41"/>
                <w:rtl w:val="0"/>
              </w:rPr>
              <w:t xml:space="preserve"> 3% </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pPr>
              <w:pBdr>
                <w:top w:color="auto" w:space="7" w:sz="0" w:val="none"/>
                <w:left w:color="auto" w:space="0" w:sz="0" w:val="none"/>
                <w:bottom w:color="auto" w:space="7" w:sz="0" w:val="none"/>
                <w:right w:color="auto" w:space="0" w:sz="0" w:val="none"/>
                <w:between w:color="auto" w:space="7" w:sz="0" w:val="none"/>
              </w:pBdr>
              <w:spacing w:line="240" w:lineRule="auto"/>
              <w:contextualSpacing w:val="0"/>
              <w:rPr>
                <w:color w:val="220f41"/>
              </w:rPr>
            </w:pPr>
            <w:r w:rsidDel="00000000" w:rsidR="00000000" w:rsidRPr="00000000">
              <w:rPr>
                <w:color w:val="220f41"/>
                <w:rtl w:val="0"/>
              </w:rPr>
              <w:t xml:space="preserve">Onbekend</w:t>
            </w:r>
          </w:p>
        </w:tc>
        <w:tc>
          <w:tcP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color w:val="220f41"/>
              </w:rPr>
            </w:pPr>
            <w:r w:rsidDel="00000000" w:rsidR="00000000" w:rsidRPr="00000000">
              <w:rPr>
                <w:color w:val="220f41"/>
                <w:rtl w:val="0"/>
              </w:rPr>
              <w:t xml:space="preserve">   925</w:t>
            </w:r>
          </w:p>
        </w:tc>
        <w:tc>
          <w:tcP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color w:val="220f41"/>
              </w:rPr>
            </w:pPr>
            <w:r w:rsidDel="00000000" w:rsidR="00000000" w:rsidRPr="00000000">
              <w:rPr>
                <w:color w:val="220f41"/>
                <w:rtl w:val="0"/>
              </w:rPr>
              <w:t xml:space="preserve"> 3% </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pPr>
              <w:pBdr>
                <w:top w:color="auto" w:space="7" w:sz="0" w:val="none"/>
                <w:left w:color="auto" w:space="0" w:sz="0" w:val="none"/>
                <w:bottom w:color="auto" w:space="7" w:sz="0" w:val="none"/>
                <w:right w:color="auto" w:space="0" w:sz="0" w:val="none"/>
                <w:between w:color="auto" w:space="7" w:sz="0" w:val="none"/>
              </w:pBdr>
              <w:spacing w:line="240" w:lineRule="auto"/>
              <w:contextualSpacing w:val="0"/>
              <w:rPr>
                <w:color w:val="220f41"/>
              </w:rPr>
            </w:pPr>
            <w:r w:rsidDel="00000000" w:rsidR="00000000" w:rsidRPr="00000000">
              <w:rPr>
                <w:color w:val="220f41"/>
                <w:rtl w:val="0"/>
              </w:rPr>
              <w:t xml:space="preserve">Iran</w:t>
            </w:r>
          </w:p>
        </w:tc>
        <w:tc>
          <w:tcP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color w:val="220f41"/>
              </w:rPr>
            </w:pPr>
            <w:r w:rsidDel="00000000" w:rsidR="00000000" w:rsidRPr="00000000">
              <w:rPr>
                <w:color w:val="220f41"/>
                <w:rtl w:val="0"/>
              </w:rPr>
              <w:t xml:space="preserve">   835</w:t>
            </w:r>
          </w:p>
        </w:tc>
        <w:tc>
          <w:tcP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color w:val="220f41"/>
              </w:rPr>
            </w:pPr>
            <w:r w:rsidDel="00000000" w:rsidR="00000000" w:rsidRPr="00000000">
              <w:rPr>
                <w:color w:val="220f41"/>
                <w:rtl w:val="0"/>
              </w:rPr>
              <w:t xml:space="preserve"> 2% </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pPr>
              <w:pBdr>
                <w:top w:color="auto" w:space="7" w:sz="0" w:val="none"/>
                <w:left w:color="auto" w:space="0" w:sz="0" w:val="none"/>
                <w:bottom w:color="auto" w:space="7" w:sz="0" w:val="none"/>
                <w:right w:color="auto" w:space="0" w:sz="0" w:val="none"/>
                <w:between w:color="auto" w:space="7" w:sz="0" w:val="none"/>
              </w:pBdr>
              <w:spacing w:line="240" w:lineRule="auto"/>
              <w:contextualSpacing w:val="0"/>
              <w:rPr>
                <w:color w:val="220f41"/>
              </w:rPr>
            </w:pPr>
            <w:r w:rsidDel="00000000" w:rsidR="00000000" w:rsidRPr="00000000">
              <w:rPr>
                <w:color w:val="220f41"/>
                <w:rtl w:val="0"/>
              </w:rPr>
              <w:t xml:space="preserve">Albanië</w:t>
            </w:r>
          </w:p>
        </w:tc>
        <w:tc>
          <w:tcPr>
            <w:tcMar>
              <w:top w:w="100.0" w:type="dxa"/>
              <w:left w:w="100.0" w:type="dxa"/>
              <w:bottom w:w="100.0" w:type="dxa"/>
              <w:right w:w="100.0" w:type="dxa"/>
            </w:tcMar>
            <w:vAlign w:val="top"/>
          </w:tcPr>
          <w:p w:rsidR="00000000" w:rsidDel="00000000" w:rsidP="00000000" w:rsidRDefault="00000000" w:rsidRPr="00000000">
            <w:pPr>
              <w:pBdr>
                <w:top w:color="auto" w:space="7" w:sz="0" w:val="none"/>
                <w:left w:color="auto" w:space="0" w:sz="0" w:val="none"/>
                <w:bottom w:color="auto" w:space="7" w:sz="0" w:val="none"/>
                <w:right w:color="auto" w:space="0" w:sz="0" w:val="none"/>
                <w:between w:color="auto" w:space="7" w:sz="0" w:val="none"/>
              </w:pBdr>
              <w:spacing w:line="240" w:lineRule="auto"/>
              <w:contextualSpacing w:val="0"/>
              <w:rPr>
                <w:color w:val="220f41"/>
              </w:rPr>
            </w:pPr>
            <w:r w:rsidDel="00000000" w:rsidR="00000000" w:rsidRPr="00000000">
              <w:rPr>
                <w:color w:val="220f41"/>
                <w:rtl w:val="0"/>
              </w:rPr>
              <w:t xml:space="preserve">   634</w:t>
            </w:r>
          </w:p>
        </w:tc>
        <w:tc>
          <w:tcPr>
            <w:tcMar>
              <w:top w:w="100.0" w:type="dxa"/>
              <w:left w:w="100.0" w:type="dxa"/>
              <w:bottom w:w="100.0" w:type="dxa"/>
              <w:right w:w="100.0" w:type="dxa"/>
            </w:tcMar>
            <w:vAlign w:val="top"/>
          </w:tcPr>
          <w:p w:rsidR="00000000" w:rsidDel="00000000" w:rsidP="00000000" w:rsidRDefault="00000000" w:rsidRPr="00000000">
            <w:pPr>
              <w:pBdr>
                <w:top w:color="auto" w:space="7" w:sz="0" w:val="none"/>
                <w:left w:color="auto" w:space="0" w:sz="0" w:val="none"/>
                <w:bottom w:color="auto" w:space="7" w:sz="0" w:val="none"/>
                <w:right w:color="auto" w:space="0" w:sz="0" w:val="none"/>
                <w:between w:color="auto" w:space="7" w:sz="0" w:val="none"/>
              </w:pBdr>
              <w:spacing w:line="240" w:lineRule="auto"/>
              <w:contextualSpacing w:val="0"/>
              <w:rPr>
                <w:color w:val="220f41"/>
              </w:rPr>
            </w:pPr>
            <w:r w:rsidDel="00000000" w:rsidR="00000000" w:rsidRPr="00000000">
              <w:rPr>
                <w:color w:val="220f41"/>
                <w:rtl w:val="0"/>
              </w:rPr>
              <w:t xml:space="preserve"> 2%</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pPr>
              <w:pBdr>
                <w:top w:color="auto" w:space="7" w:sz="0" w:val="none"/>
                <w:left w:color="auto" w:space="0" w:sz="0" w:val="none"/>
                <w:bottom w:color="auto" w:space="7" w:sz="0" w:val="none"/>
                <w:right w:color="auto" w:space="0" w:sz="0" w:val="none"/>
                <w:between w:color="auto" w:space="7" w:sz="0" w:val="none"/>
              </w:pBdr>
              <w:spacing w:line="240" w:lineRule="auto"/>
              <w:contextualSpacing w:val="0"/>
              <w:rPr>
                <w:color w:val="220f41"/>
              </w:rPr>
            </w:pPr>
            <w:r w:rsidDel="00000000" w:rsidR="00000000" w:rsidRPr="00000000">
              <w:rPr>
                <w:color w:val="220f41"/>
                <w:rtl w:val="0"/>
              </w:rPr>
              <w:t xml:space="preserve">Anders</w:t>
            </w:r>
          </w:p>
        </w:tc>
        <w:tc>
          <w:tcPr>
            <w:tcMar>
              <w:top w:w="100.0" w:type="dxa"/>
              <w:left w:w="100.0" w:type="dxa"/>
              <w:bottom w:w="100.0" w:type="dxa"/>
              <w:right w:w="100.0" w:type="dxa"/>
            </w:tcMar>
            <w:vAlign w:val="top"/>
          </w:tcPr>
          <w:p w:rsidR="00000000" w:rsidDel="00000000" w:rsidP="00000000" w:rsidRDefault="00000000" w:rsidRPr="00000000">
            <w:pPr>
              <w:pBdr>
                <w:top w:color="auto" w:space="7" w:sz="0" w:val="none"/>
                <w:left w:color="auto" w:space="0" w:sz="0" w:val="none"/>
                <w:bottom w:color="auto" w:space="7" w:sz="0" w:val="none"/>
                <w:right w:color="auto" w:space="0" w:sz="0" w:val="none"/>
                <w:between w:color="auto" w:space="7" w:sz="0" w:val="none"/>
              </w:pBdr>
              <w:spacing w:line="240" w:lineRule="auto"/>
              <w:contextualSpacing w:val="0"/>
              <w:rPr>
                <w:color w:val="220f41"/>
              </w:rPr>
            </w:pPr>
            <w:r w:rsidDel="00000000" w:rsidR="00000000" w:rsidRPr="00000000">
              <w:rPr>
                <w:color w:val="220f41"/>
                <w:rtl w:val="0"/>
              </w:rPr>
              <w:t xml:space="preserve"> 8.461</w:t>
            </w:r>
          </w:p>
        </w:tc>
        <w:tc>
          <w:tcPr>
            <w:tcMar>
              <w:top w:w="100.0" w:type="dxa"/>
              <w:left w:w="100.0" w:type="dxa"/>
              <w:bottom w:w="100.0" w:type="dxa"/>
              <w:right w:w="100.0" w:type="dxa"/>
            </w:tcMar>
            <w:vAlign w:val="top"/>
          </w:tcPr>
          <w:p w:rsidR="00000000" w:rsidDel="00000000" w:rsidP="00000000" w:rsidRDefault="00000000" w:rsidRPr="00000000">
            <w:pPr>
              <w:pBdr>
                <w:top w:color="auto" w:space="7" w:sz="0" w:val="none"/>
                <w:left w:color="auto" w:space="0" w:sz="0" w:val="none"/>
                <w:bottom w:color="auto" w:space="7" w:sz="0" w:val="none"/>
                <w:right w:color="auto" w:space="0" w:sz="0" w:val="none"/>
                <w:between w:color="auto" w:space="7" w:sz="0" w:val="none"/>
              </w:pBdr>
              <w:spacing w:line="240" w:lineRule="auto"/>
              <w:contextualSpacing w:val="0"/>
              <w:rPr>
                <w:color w:val="220f41"/>
              </w:rPr>
            </w:pPr>
            <w:r w:rsidDel="00000000" w:rsidR="00000000" w:rsidRPr="00000000">
              <w:rPr>
                <w:color w:val="220f41"/>
                <w:rtl w:val="0"/>
              </w:rPr>
              <w:t xml:space="preserve">23%</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pPr>
              <w:pBdr>
                <w:top w:color="auto" w:space="7" w:sz="0" w:val="none"/>
                <w:left w:color="auto" w:space="0" w:sz="0" w:val="none"/>
                <w:bottom w:color="auto" w:space="7" w:sz="0" w:val="none"/>
                <w:right w:color="auto" w:space="0" w:sz="0" w:val="none"/>
                <w:between w:color="auto" w:space="7" w:sz="0" w:val="none"/>
              </w:pBdr>
              <w:spacing w:line="240" w:lineRule="auto"/>
              <w:contextualSpacing w:val="0"/>
              <w:rPr>
                <w:color w:val="220f41"/>
              </w:rPr>
            </w:pPr>
            <w:r w:rsidDel="00000000" w:rsidR="00000000" w:rsidRPr="00000000">
              <w:rPr>
                <w:color w:val="220f41"/>
                <w:rtl w:val="0"/>
              </w:rPr>
              <w:t xml:space="preserve">Totaal</w:t>
            </w:r>
          </w:p>
        </w:tc>
        <w:tc>
          <w:tcPr>
            <w:tcMar>
              <w:top w:w="100.0" w:type="dxa"/>
              <w:left w:w="100.0" w:type="dxa"/>
              <w:bottom w:w="100.0" w:type="dxa"/>
              <w:right w:w="100.0" w:type="dxa"/>
            </w:tcMar>
            <w:vAlign w:val="top"/>
          </w:tcPr>
          <w:p w:rsidR="00000000" w:rsidDel="00000000" w:rsidP="00000000" w:rsidRDefault="00000000" w:rsidRPr="00000000">
            <w:pPr>
              <w:pBdr>
                <w:top w:color="auto" w:space="7" w:sz="0" w:val="none"/>
                <w:left w:color="auto" w:space="0" w:sz="0" w:val="none"/>
                <w:bottom w:color="auto" w:space="7" w:sz="0" w:val="none"/>
                <w:right w:color="auto" w:space="0" w:sz="0" w:val="none"/>
                <w:between w:color="auto" w:space="7" w:sz="0" w:val="none"/>
              </w:pBdr>
              <w:spacing w:line="240" w:lineRule="auto"/>
              <w:contextualSpacing w:val="0"/>
              <w:rPr>
                <w:color w:val="220f41"/>
              </w:rPr>
            </w:pPr>
            <w:r w:rsidDel="00000000" w:rsidR="00000000" w:rsidRPr="00000000">
              <w:rPr>
                <w:color w:val="220f41"/>
                <w:rtl w:val="0"/>
              </w:rPr>
              <w:t xml:space="preserve">36.625</w:t>
            </w:r>
          </w:p>
        </w:tc>
        <w:tc>
          <w:tcPr>
            <w:tcMar>
              <w:top w:w="100.0" w:type="dxa"/>
              <w:left w:w="100.0" w:type="dxa"/>
              <w:bottom w:w="100.0" w:type="dxa"/>
              <w:right w:w="100.0" w:type="dxa"/>
            </w:tcMar>
            <w:vAlign w:val="top"/>
          </w:tcPr>
          <w:p w:rsidR="00000000" w:rsidDel="00000000" w:rsidP="00000000" w:rsidRDefault="00000000" w:rsidRPr="00000000">
            <w:pPr>
              <w:pBdr>
                <w:top w:color="auto" w:space="7" w:sz="0" w:val="none"/>
                <w:left w:color="auto" w:space="0" w:sz="0" w:val="none"/>
                <w:bottom w:color="auto" w:space="7" w:sz="0" w:val="none"/>
                <w:right w:color="auto" w:space="0" w:sz="0" w:val="none"/>
                <w:between w:color="auto" w:space="7" w:sz="0" w:val="none"/>
              </w:pBdr>
              <w:spacing w:line="240" w:lineRule="auto"/>
              <w:contextualSpacing w:val="0"/>
              <w:rPr>
                <w:color w:val="220f41"/>
              </w:rPr>
            </w:pPr>
            <w:r w:rsidDel="00000000" w:rsidR="00000000" w:rsidRPr="00000000">
              <w:rPr>
                <w:color w:val="220f41"/>
                <w:rtl w:val="0"/>
              </w:rPr>
              <w:t xml:space="preserve">100%</w:t>
            </w:r>
          </w:p>
        </w:tc>
      </w:tr>
    </w:tbl>
    <w:p w:rsidR="00000000" w:rsidDel="00000000" w:rsidP="00000000" w:rsidRDefault="00000000" w:rsidRPr="00000000">
      <w:pPr>
        <w:pBdr>
          <w:top w:color="auto" w:space="7" w:sz="0" w:val="none"/>
          <w:left w:color="auto" w:space="0" w:sz="0" w:val="none"/>
          <w:bottom w:color="auto" w:space="7" w:sz="0" w:val="none"/>
          <w:right w:color="auto" w:space="0" w:sz="0" w:val="none"/>
          <w:between w:color="auto" w:space="7" w:sz="0" w:val="none"/>
        </w:pBdr>
        <w:shd w:fill="ffffff" w:val="clear"/>
        <w:spacing w:line="240" w:lineRule="auto"/>
        <w:contextualSpacing w:val="0"/>
        <w:rPr>
          <w:color w:val="220f41"/>
        </w:rPr>
      </w:pPr>
      <w:r w:rsidDel="00000000" w:rsidR="00000000" w:rsidRPr="00000000">
        <w:rPr>
          <w:color w:val="220f41"/>
          <w:rtl w:val="0"/>
        </w:rPr>
        <w:t xml:space="preserve">Tabel: personen in opvang, naar nationaliteit, (Bron: IND (aug. 2015) Asylum trends)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Hier staan ook wat mogelijk interessante statistieken: </w:t>
      </w:r>
      <w:hyperlink r:id="rId7">
        <w:r w:rsidDel="00000000" w:rsidR="00000000" w:rsidRPr="00000000">
          <w:rPr>
            <w:color w:val="1155cc"/>
            <w:u w:val="single"/>
            <w:rtl w:val="0"/>
          </w:rPr>
          <w:t xml:space="preserve">http://www.bbc.com/news/world-europe-34131911</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Verklaring Pieken en Dalen  in Grafiek</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Piek I</w:t>
      </w:r>
      <w:r w:rsidDel="00000000" w:rsidR="00000000" w:rsidRPr="00000000">
        <w:rPr>
          <w:i w:val="1"/>
          <w:rtl w:val="0"/>
        </w:rPr>
        <w:t xml:space="preserve">talie 2014 (https://en.wikipedia.org/wiki/European_migrant_crisis):</w:t>
      </w:r>
    </w:p>
    <w:p w:rsidR="00000000" w:rsidDel="00000000" w:rsidP="00000000" w:rsidRDefault="00000000" w:rsidRPr="00000000">
      <w:pPr>
        <w:shd w:fill="ffffff" w:val="clear"/>
        <w:spacing w:after="120" w:before="120" w:lineRule="auto"/>
        <w:contextualSpacing w:val="0"/>
        <w:rPr>
          <w:vertAlign w:val="superscript"/>
        </w:rPr>
      </w:pPr>
      <w:r w:rsidDel="00000000" w:rsidR="00000000" w:rsidRPr="00000000">
        <w:rPr>
          <w:rtl w:val="0"/>
        </w:rPr>
        <w:t xml:space="preserve">In 2008, </w:t>
      </w:r>
      <w:hyperlink r:id="rId8">
        <w:r w:rsidDel="00000000" w:rsidR="00000000" w:rsidRPr="00000000">
          <w:rPr>
            <w:rtl w:val="0"/>
          </w:rPr>
          <w:t xml:space="preserve">Berlusconi</w:t>
        </w:r>
      </w:hyperlink>
      <w:r w:rsidDel="00000000" w:rsidR="00000000" w:rsidRPr="00000000">
        <w:rPr>
          <w:rtl w:val="0"/>
        </w:rPr>
        <w:t xml:space="preserve">'s government in Italy and </w:t>
      </w:r>
      <w:hyperlink r:id="rId9">
        <w:r w:rsidDel="00000000" w:rsidR="00000000" w:rsidRPr="00000000">
          <w:rPr>
            <w:rtl w:val="0"/>
          </w:rPr>
          <w:t xml:space="preserve">Gaddafi</w:t>
        </w:r>
      </w:hyperlink>
      <w:r w:rsidDel="00000000" w:rsidR="00000000" w:rsidRPr="00000000">
        <w:rPr>
          <w:rtl w:val="0"/>
        </w:rPr>
        <w:t xml:space="preserve">'s government in Libya signed a treaty including cooperation between the two countries in stopping irregular migration from Libya to Italy; this led to a policy of forcibly returning to Libya boat migrants intercepted by the Italian coast guard at sea.</w:t>
      </w:r>
      <w:r w:rsidDel="00000000" w:rsidR="00000000" w:rsidRPr="00000000">
        <w:rPr>
          <w:vertAlign w:val="superscript"/>
          <w:rtl w:val="0"/>
        </w:rPr>
        <w:t xml:space="preserve"> </w:t>
      </w:r>
      <w:r w:rsidDel="00000000" w:rsidR="00000000" w:rsidRPr="00000000">
        <w:rPr>
          <w:rtl w:val="0"/>
        </w:rPr>
        <w:t xml:space="preserve">The cooperation collapsed following the outbreak of the </w:t>
      </w:r>
      <w:hyperlink r:id="rId10">
        <w:r w:rsidDel="00000000" w:rsidR="00000000" w:rsidRPr="00000000">
          <w:rPr>
            <w:rtl w:val="0"/>
          </w:rPr>
          <w:t xml:space="preserve">Libyan civil war</w:t>
        </w:r>
      </w:hyperlink>
      <w:r w:rsidDel="00000000" w:rsidR="00000000" w:rsidRPr="00000000">
        <w:rPr>
          <w:rtl w:val="0"/>
        </w:rPr>
        <w:t xml:space="preserve"> in 2011, and in 2012 the </w:t>
      </w:r>
      <w:hyperlink r:id="rId11">
        <w:r w:rsidDel="00000000" w:rsidR="00000000" w:rsidRPr="00000000">
          <w:rPr>
            <w:rtl w:val="0"/>
          </w:rPr>
          <w:t xml:space="preserve">European Court of Human Rights</w:t>
        </w:r>
      </w:hyperlink>
      <w:r w:rsidDel="00000000" w:rsidR="00000000" w:rsidRPr="00000000">
        <w:rPr>
          <w:rtl w:val="0"/>
        </w:rPr>
        <w:t xml:space="preserve"> ruled that Italy had violated the </w:t>
      </w:r>
      <w:hyperlink r:id="rId12">
        <w:r w:rsidDel="00000000" w:rsidR="00000000" w:rsidRPr="00000000">
          <w:rPr>
            <w:rtl w:val="0"/>
          </w:rPr>
          <w:t xml:space="preserve">European Convention on Human Rights</w:t>
        </w:r>
      </w:hyperlink>
      <w:r w:rsidDel="00000000" w:rsidR="00000000" w:rsidRPr="00000000">
        <w:rPr>
          <w:rtl w:val="0"/>
        </w:rPr>
        <w:t xml:space="preserve"> by returning migrants to Libya, as it exposed the migrants to the risk of being subjected to </w:t>
      </w:r>
      <w:hyperlink r:id="rId13">
        <w:r w:rsidDel="00000000" w:rsidR="00000000" w:rsidRPr="00000000">
          <w:rPr>
            <w:rtl w:val="0"/>
          </w:rPr>
          <w:t xml:space="preserve">ill-treatment</w:t>
        </w:r>
      </w:hyperlink>
      <w:r w:rsidDel="00000000" w:rsidR="00000000" w:rsidRPr="00000000">
        <w:rPr>
          <w:rtl w:val="0"/>
        </w:rPr>
        <w:t xml:space="preserve"> in Libya and violated the prohibition of </w:t>
      </w:r>
      <w:hyperlink r:id="rId14">
        <w:r w:rsidDel="00000000" w:rsidR="00000000" w:rsidRPr="00000000">
          <w:rPr>
            <w:rtl w:val="0"/>
          </w:rPr>
          <w:t xml:space="preserve">collective expulsions</w:t>
        </w:r>
      </w:hyperlink>
      <w:r w:rsidDel="00000000" w:rsidR="00000000" w:rsidRPr="00000000">
        <w:rPr>
          <w:rtl w:val="0"/>
        </w:rPr>
        <w:t xml:space="preserve">.</w:t>
      </w:r>
      <w:r w:rsidDel="00000000" w:rsidR="00000000" w:rsidRPr="00000000">
        <w:fldChar w:fldCharType="begin"/>
        <w:instrText xml:space="preserve"> HYPERLINK "https://en.wikipedia.org/wiki/European_migrant_crisis#cite_note-58" </w:instrText>
        <w:fldChar w:fldCharType="separate"/>
      </w:r>
      <w:r w:rsidDel="00000000" w:rsidR="00000000" w:rsidRPr="00000000">
        <w:rPr>
          <w:rtl w:val="0"/>
        </w:rPr>
      </w:r>
    </w:p>
    <w:p w:rsidR="00000000" w:rsidDel="00000000" w:rsidP="00000000" w:rsidRDefault="00000000" w:rsidRPr="00000000">
      <w:pPr>
        <w:shd w:fill="ffffff" w:val="clear"/>
        <w:spacing w:after="120" w:before="120" w:lineRule="auto"/>
        <w:contextualSpacing w:val="0"/>
        <w:rPr/>
      </w:pPr>
      <w:r w:rsidDel="00000000" w:rsidR="00000000" w:rsidRPr="00000000">
        <w:fldChar w:fldCharType="end"/>
      </w:r>
      <w:r w:rsidDel="00000000" w:rsidR="00000000" w:rsidRPr="00000000">
        <w:rPr>
          <w:rtl w:val="0"/>
        </w:rPr>
        <w:t xml:space="preserve">Since 2011, and particularly since 2014, instability and the </w:t>
      </w:r>
      <w:hyperlink r:id="rId15">
        <w:r w:rsidDel="00000000" w:rsidR="00000000" w:rsidRPr="00000000">
          <w:rPr>
            <w:rtl w:val="0"/>
          </w:rPr>
          <w:t xml:space="preserve">Second Civil War in Libya</w:t>
        </w:r>
      </w:hyperlink>
      <w:r w:rsidDel="00000000" w:rsidR="00000000" w:rsidRPr="00000000">
        <w:rPr>
          <w:rtl w:val="0"/>
        </w:rPr>
        <w:t xml:space="preserve"> have made departures from the north-African country to Italy easier, with no central authority controlling Libya's ports and dealing with European countries, and </w:t>
      </w:r>
      <w:hyperlink r:id="rId16">
        <w:r w:rsidDel="00000000" w:rsidR="00000000" w:rsidRPr="00000000">
          <w:rPr>
            <w:rtl w:val="0"/>
          </w:rPr>
          <w:t xml:space="preserve">migrant smuggling</w:t>
        </w:r>
      </w:hyperlink>
      <w:r w:rsidDel="00000000" w:rsidR="00000000" w:rsidRPr="00000000">
        <w:rPr>
          <w:rtl w:val="0"/>
        </w:rPr>
        <w:t xml:space="preserve"> networks flourishing. The war could also have forced to leave many African immigrants residing in Libya, which used to be itself a destination country for migrants looking for better jobs</w:t>
      </w:r>
      <w:r w:rsidDel="00000000" w:rsidR="00000000" w:rsidRPr="00000000">
        <w:rPr>
          <w:vertAlign w:val="superscript"/>
          <w:rtl w:val="0"/>
        </w:rPr>
        <w:t xml:space="preserve">.</w:t>
      </w:r>
      <w:r w:rsidDel="00000000" w:rsidR="00000000" w:rsidRPr="00000000">
        <w:rPr>
          <w:rtl w:val="0"/>
        </w:rPr>
        <w:t xml:space="preserve"> The </w:t>
      </w:r>
      <w:hyperlink r:id="rId17">
        <w:r w:rsidDel="00000000" w:rsidR="00000000" w:rsidRPr="00000000">
          <w:rPr>
            <w:rtl w:val="0"/>
          </w:rPr>
          <w:t xml:space="preserve">2013 Lampedusa migrant shipwreck</w:t>
        </w:r>
      </w:hyperlink>
      <w:r w:rsidDel="00000000" w:rsidR="00000000" w:rsidRPr="00000000">
        <w:rPr>
          <w:rtl w:val="0"/>
        </w:rPr>
        <w:t xml:space="preserve"> involved "more than 360" deaths, leading the Italian government to establish </w:t>
      </w:r>
      <w:hyperlink r:id="rId18">
        <w:r w:rsidDel="00000000" w:rsidR="00000000" w:rsidRPr="00000000">
          <w:rPr>
            <w:rtl w:val="0"/>
          </w:rPr>
          <w:t xml:space="preserve">Operation Mare Nostrum</w:t>
        </w:r>
      </w:hyperlink>
      <w:r w:rsidDel="00000000" w:rsidR="00000000" w:rsidRPr="00000000">
        <w:rPr>
          <w:rtl w:val="0"/>
        </w:rPr>
        <w:t xml:space="preserve">, a large-scale naval operation that involved </w:t>
      </w:r>
      <w:hyperlink r:id="rId19">
        <w:r w:rsidDel="00000000" w:rsidR="00000000" w:rsidRPr="00000000">
          <w:rPr>
            <w:rtl w:val="0"/>
          </w:rPr>
          <w:t xml:space="preserve">search and rescue</w:t>
        </w:r>
      </w:hyperlink>
      <w:r w:rsidDel="00000000" w:rsidR="00000000" w:rsidRPr="00000000">
        <w:rPr>
          <w:rtl w:val="0"/>
        </w:rPr>
        <w:t xml:space="preserve">, with some migrants brought aboard a naval </w:t>
      </w:r>
      <w:hyperlink r:id="rId20">
        <w:r w:rsidDel="00000000" w:rsidR="00000000" w:rsidRPr="00000000">
          <w:rPr>
            <w:rtl w:val="0"/>
          </w:rPr>
          <w:t xml:space="preserve">amphibious assault ship</w:t>
        </w:r>
      </w:hyperlink>
      <w:r w:rsidDel="00000000" w:rsidR="00000000" w:rsidRPr="00000000">
        <w:rPr>
          <w:rtl w:val="0"/>
        </w:rPr>
        <w:t xml:space="preserve">.</w:t>
      </w:r>
    </w:p>
    <w:p w:rsidR="00000000" w:rsidDel="00000000" w:rsidP="00000000" w:rsidRDefault="00000000" w:rsidRPr="00000000">
      <w:pPr>
        <w:shd w:fill="ffffff" w:val="clear"/>
        <w:spacing w:after="120" w:before="120" w:lineRule="auto"/>
        <w:contextualSpacing w:val="0"/>
        <w:rPr/>
      </w:pPr>
      <w:r w:rsidDel="00000000" w:rsidR="00000000" w:rsidRPr="00000000">
        <w:rPr>
          <w:rtl w:val="0"/>
        </w:rPr>
      </w:r>
    </w:p>
    <w:p w:rsidR="00000000" w:rsidDel="00000000" w:rsidP="00000000" w:rsidRDefault="00000000" w:rsidRPr="00000000">
      <w:pPr>
        <w:shd w:fill="ffffff" w:val="clear"/>
        <w:spacing w:after="120" w:before="120" w:lineRule="auto"/>
        <w:contextualSpacing w:val="0"/>
        <w:rPr>
          <w:i w:val="1"/>
        </w:rPr>
      </w:pPr>
      <w:r w:rsidDel="00000000" w:rsidR="00000000" w:rsidRPr="00000000">
        <w:rPr>
          <w:i w:val="1"/>
          <w:rtl w:val="0"/>
        </w:rPr>
        <w:t xml:space="preserve">Eerst Hoge aantallen in Spanje, daarna negatief </w:t>
      </w:r>
      <w:r w:rsidDel="00000000" w:rsidR="00000000" w:rsidRPr="00000000">
        <w:rPr>
          <w:i w:val="1"/>
          <w:rtl w:val="0"/>
        </w:rPr>
        <w:t xml:space="preserve">(http://bruegel.org/2015/12/the-remarkable-case-of-spanish-immigration/):</w:t>
      </w:r>
    </w:p>
    <w:p w:rsidR="00000000" w:rsidDel="00000000" w:rsidP="00000000" w:rsidRDefault="00000000" w:rsidRPr="00000000">
      <w:pPr>
        <w:shd w:fill="ffffff" w:val="clear"/>
        <w:spacing w:after="120" w:before="120" w:lineRule="auto"/>
        <w:contextualSpacing w:val="0"/>
        <w:rPr>
          <w:shd w:fill="f8f8f4" w:val="clear"/>
        </w:rPr>
      </w:pPr>
      <w:r w:rsidDel="00000000" w:rsidR="00000000" w:rsidRPr="00000000">
        <w:rPr>
          <w:shd w:fill="f8f8f4" w:val="clear"/>
          <w:rtl w:val="0"/>
        </w:rPr>
        <w:t xml:space="preserve">Between 2002 and 2014, Spain received an accumulated immigration inflow of 7.3 million and a net flow of 4.1 million, making it the second-largest recipient of immigrants in absolute terms among OECD countries, following the United States.</w:t>
      </w:r>
    </w:p>
    <w:p w:rsidR="00000000" w:rsidDel="00000000" w:rsidP="00000000" w:rsidRDefault="00000000" w:rsidRPr="00000000">
      <w:pPr>
        <w:shd w:fill="ffffff" w:val="clear"/>
        <w:spacing w:after="120" w:before="120" w:lineRule="auto"/>
        <w:contextualSpacing w:val="0"/>
        <w:rPr/>
      </w:pPr>
      <w:r w:rsidDel="00000000" w:rsidR="00000000" w:rsidRPr="00000000">
        <w:rPr>
          <w:shd w:fill="f8f8f4" w:val="clear"/>
          <w:rtl w:val="0"/>
        </w:rPr>
        <w:t xml:space="preserve"> </w:t>
      </w:r>
      <w:r w:rsidDel="00000000" w:rsidR="00000000" w:rsidRPr="00000000">
        <w:rPr>
          <w:shd w:fill="f8f8f4" w:val="clear"/>
          <w:rtl w:val="0"/>
        </w:rPr>
        <w:t xml:space="preserve">This migration episode was largely concentrated during the first decade of the century, peaking in 2007. After the financial crisis the number of foreigners leaving Spain rapidly increased, while inflows became weaker, leading to much lower net flows (becoming modestly negative between 2012 and 2014).</w:t>
      </w:r>
      <w:r w:rsidDel="00000000" w:rsidR="00000000" w:rsidRPr="00000000">
        <w:fldChar w:fldCharType="begin"/>
        <w:instrText xml:space="preserve"> HYPERLINK "https://en.wikipedia.org/wiki/European_migrant_crisis#cite_note-60" </w:instrText>
        <w:fldChar w:fldCharType="separate"/>
      </w:r>
      <w:r w:rsidDel="00000000" w:rsidR="00000000" w:rsidRPr="00000000">
        <w:rPr>
          <w:rtl w:val="0"/>
        </w:rPr>
      </w:r>
    </w:p>
    <w:p w:rsidR="00000000" w:rsidDel="00000000" w:rsidP="00000000" w:rsidRDefault="00000000" w:rsidRPr="00000000">
      <w:pPr>
        <w:contextualSpacing w:val="0"/>
        <w:rPr/>
      </w:pPr>
      <w:r w:rsidDel="00000000" w:rsidR="00000000" w:rsidRPr="00000000">
        <w:fldChar w:fldCharType="end"/>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Amphibious_assault_ship" TargetMode="External"/><Relationship Id="rId11" Type="http://schemas.openxmlformats.org/officeDocument/2006/relationships/hyperlink" Target="https://en.wikipedia.org/wiki/European_Court_of_Human_Rights" TargetMode="External"/><Relationship Id="rId10" Type="http://schemas.openxmlformats.org/officeDocument/2006/relationships/hyperlink" Target="https://en.wikipedia.org/wiki/Libyan_Civil_War_(2011)" TargetMode="External"/><Relationship Id="rId13" Type="http://schemas.openxmlformats.org/officeDocument/2006/relationships/hyperlink" Target="https://en.wikipedia.org/wiki/European_Convention_on_Human_Rights#Article_3_-_torture" TargetMode="External"/><Relationship Id="rId12" Type="http://schemas.openxmlformats.org/officeDocument/2006/relationships/hyperlink" Target="https://en.wikipedia.org/wiki/European_Convention_on_Human_Righ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Muammar_Gaddafi" TargetMode="External"/><Relationship Id="rId15" Type="http://schemas.openxmlformats.org/officeDocument/2006/relationships/hyperlink" Target="https://en.wikipedia.org/wiki/Libyan_Civil_War_(2014%E2%80%93present)" TargetMode="External"/><Relationship Id="rId14" Type="http://schemas.openxmlformats.org/officeDocument/2006/relationships/hyperlink" Target="https://en.wikipedia.org/wiki/European_Convention_on_Human_Rights#Protocol_4_-_civil_imprisonment,_free_movement,_expulsion" TargetMode="External"/><Relationship Id="rId17" Type="http://schemas.openxmlformats.org/officeDocument/2006/relationships/hyperlink" Target="https://en.wikipedia.org/wiki/2013_Lampedusa_migrant_shipwreck" TargetMode="External"/><Relationship Id="rId16" Type="http://schemas.openxmlformats.org/officeDocument/2006/relationships/hyperlink" Target="https://en.wikipedia.org/wiki/Migrant_smuggling" TargetMode="External"/><Relationship Id="rId5" Type="http://schemas.openxmlformats.org/officeDocument/2006/relationships/styles" Target="styles.xml"/><Relationship Id="rId19" Type="http://schemas.openxmlformats.org/officeDocument/2006/relationships/hyperlink" Target="https://en.wikipedia.org/wiki/Search_and_rescue" TargetMode="External"/><Relationship Id="rId6" Type="http://schemas.openxmlformats.org/officeDocument/2006/relationships/image" Target="media/image2.png"/><Relationship Id="rId18" Type="http://schemas.openxmlformats.org/officeDocument/2006/relationships/hyperlink" Target="https://en.wikipedia.org/wiki/Operation_Mare_Nostrum" TargetMode="External"/><Relationship Id="rId7" Type="http://schemas.openxmlformats.org/officeDocument/2006/relationships/hyperlink" Target="http://www.bbc.com/news/world-europe-34131911" TargetMode="External"/><Relationship Id="rId8" Type="http://schemas.openxmlformats.org/officeDocument/2006/relationships/hyperlink" Target="https://en.wikipedia.org/wiki/Silvio_Berlusco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