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CA881" w14:textId="77777777" w:rsidR="004545CD" w:rsidRPr="007E06BA" w:rsidRDefault="00D77893" w:rsidP="00593632">
      <w:pPr>
        <w:jc w:val="center"/>
        <w:rPr>
          <w:b/>
          <w:sz w:val="44"/>
          <w:szCs w:val="44"/>
        </w:rPr>
      </w:pPr>
      <w:r>
        <w:rPr>
          <w:b/>
          <w:sz w:val="44"/>
          <w:szCs w:val="44"/>
        </w:rPr>
        <w:t xml:space="preserve">RAM </w:t>
      </w:r>
      <w:r w:rsidR="00593632" w:rsidRPr="007E06BA">
        <w:rPr>
          <w:b/>
          <w:sz w:val="44"/>
          <w:szCs w:val="44"/>
        </w:rPr>
        <w:t>Surplus P</w:t>
      </w:r>
      <w:r w:rsidR="00604D9A">
        <w:rPr>
          <w:b/>
          <w:sz w:val="44"/>
          <w:szCs w:val="44"/>
        </w:rPr>
        <w:t xml:space="preserve">roduction Model Fitting Guide </w:t>
      </w:r>
    </w:p>
    <w:p w14:paraId="20E9247F" w14:textId="77777777" w:rsidR="00593632" w:rsidRDefault="00593632" w:rsidP="00593632">
      <w:pPr>
        <w:jc w:val="center"/>
        <w:rPr>
          <w:sz w:val="44"/>
          <w:szCs w:val="44"/>
        </w:rPr>
      </w:pPr>
    </w:p>
    <w:p w14:paraId="2B29E87E" w14:textId="77777777" w:rsidR="00921AC6" w:rsidRPr="00932880" w:rsidRDefault="00921AC6" w:rsidP="00593632">
      <w:pPr>
        <w:jc w:val="center"/>
        <w:rPr>
          <w:b/>
          <w:sz w:val="32"/>
          <w:szCs w:val="32"/>
        </w:rPr>
      </w:pPr>
      <w:r w:rsidRPr="00932880">
        <w:rPr>
          <w:b/>
          <w:sz w:val="32"/>
          <w:szCs w:val="32"/>
        </w:rPr>
        <w:t>Model Fitting Protocol</w:t>
      </w:r>
    </w:p>
    <w:p w14:paraId="3E176C2A" w14:textId="4C6CF082" w:rsidR="002A353C" w:rsidRDefault="001B17C4" w:rsidP="00921AC6">
      <w:r>
        <w:t>To</w:t>
      </w:r>
      <w:r w:rsidR="008435D6">
        <w:t xml:space="preserve"> supplement </w:t>
      </w:r>
      <w:r w:rsidR="008E1550">
        <w:t xml:space="preserve">biological </w:t>
      </w:r>
      <w:r w:rsidR="008435D6">
        <w:t xml:space="preserve">reference points </w:t>
      </w:r>
      <w:r w:rsidR="008E1550">
        <w:t>(</w:t>
      </w:r>
      <w:r w:rsidR="008E1550" w:rsidRPr="001B17C4">
        <w:rPr>
          <w:i/>
          <w:iCs/>
        </w:rPr>
        <w:t>TB</w:t>
      </w:r>
      <w:r w:rsidR="008E1550" w:rsidRPr="001B17C4">
        <w:rPr>
          <w:i/>
          <w:iCs/>
          <w:vertAlign w:val="subscript"/>
        </w:rPr>
        <w:t>MSY</w:t>
      </w:r>
      <w:r w:rsidR="008E1550">
        <w:t xml:space="preserve"> and/or </w:t>
      </w:r>
      <w:r w:rsidR="008E1550" w:rsidRPr="001B17C4">
        <w:rPr>
          <w:i/>
          <w:iCs/>
        </w:rPr>
        <w:t>ER</w:t>
      </w:r>
      <w:r w:rsidR="008E1550" w:rsidRPr="001B17C4">
        <w:rPr>
          <w:i/>
          <w:iCs/>
          <w:vertAlign w:val="subscript"/>
        </w:rPr>
        <w:t>MSY</w:t>
      </w:r>
      <w:r w:rsidR="008E1550">
        <w:t xml:space="preserve">) </w:t>
      </w:r>
      <w:r w:rsidR="008435D6">
        <w:t xml:space="preserve">not present in the RAM Legacy Stock Assessment Database, we </w:t>
      </w:r>
      <w:r w:rsidR="006A4469">
        <w:t>fit</w:t>
      </w:r>
      <w:r w:rsidR="008435D6">
        <w:t xml:space="preserve"> surplus production model</w:t>
      </w:r>
      <w:r w:rsidR="006A4469">
        <w:t>s</w:t>
      </w:r>
      <w:r w:rsidR="008435D6">
        <w:t xml:space="preserve"> to</w:t>
      </w:r>
      <w:r w:rsidR="006A4469">
        <w:t xml:space="preserve"> time series data to</w:t>
      </w:r>
      <w:r w:rsidR="008435D6">
        <w:t xml:space="preserve"> estimate</w:t>
      </w:r>
      <w:r w:rsidR="008E1550">
        <w:t xml:space="preserve"> these</w:t>
      </w:r>
      <w:r w:rsidR="008435D6">
        <w:t xml:space="preserve"> missing </w:t>
      </w:r>
      <w:r w:rsidR="008E1550">
        <w:t>BRPs</w:t>
      </w:r>
      <w:r w:rsidR="008435D6">
        <w:t xml:space="preserve">. </w:t>
      </w:r>
      <w:r w:rsidR="002A353C">
        <w:t>These post-hoc surplus production model fits are only conducted in the Extended RAMLDB version (or ‘model-fits’ version), not in the ‘Assessment-only’ version.</w:t>
      </w:r>
    </w:p>
    <w:p w14:paraId="737EE036" w14:textId="77777777" w:rsidR="002A353C" w:rsidRDefault="008435D6" w:rsidP="00921AC6">
      <w:r>
        <w:t xml:space="preserve">A Pella-Tomlinson model with </w:t>
      </w:r>
      <w:r w:rsidR="008E1550">
        <w:t>a flexible shape parameter</w:t>
      </w:r>
      <w:r>
        <w:t xml:space="preserve"> </w:t>
      </w:r>
      <w:r w:rsidR="008E1550">
        <w:t>(</w:t>
      </w:r>
      <w:r w:rsidRPr="001B17C4">
        <w:rPr>
          <w:i/>
          <w:iCs/>
        </w:rPr>
        <w:t>p</w:t>
      </w:r>
      <w:r w:rsidR="008E1550">
        <w:t>)</w:t>
      </w:r>
      <w:r>
        <w:t xml:space="preserve"> is used (</w:t>
      </w:r>
      <w:r w:rsidRPr="008334AD">
        <w:rPr>
          <w:b/>
          <w:i/>
        </w:rPr>
        <w:t>Appendix 1</w:t>
      </w:r>
      <w:r w:rsidR="008E1550">
        <w:t>), fitting the model to time series of catch and total biomass drawn from the same assessment.</w:t>
      </w:r>
      <w:r>
        <w:t xml:space="preserve"> This model is </w:t>
      </w:r>
      <w:r w:rsidR="008E1550">
        <w:t>fit</w:t>
      </w:r>
      <w:r>
        <w:t xml:space="preserve"> under an extensive l</w:t>
      </w:r>
      <w:r w:rsidR="00942C8E">
        <w:t>ist of data scenarios</w:t>
      </w:r>
      <w:r w:rsidR="008E1550">
        <w:t xml:space="preserve"> and shape parameter assumptions</w:t>
      </w:r>
      <w:r w:rsidR="00942C8E">
        <w:t xml:space="preserve"> (</w:t>
      </w:r>
      <w:r w:rsidR="00942C8E" w:rsidRPr="008334AD">
        <w:rPr>
          <w:b/>
          <w:i/>
        </w:rPr>
        <w:t>Table 1</w:t>
      </w:r>
      <w:r w:rsidR="008E1550">
        <w:t>). These cases include</w:t>
      </w:r>
      <w:r w:rsidR="00942C8E">
        <w:t xml:space="preserve"> different combinations of </w:t>
      </w:r>
      <w:proofErr w:type="gramStart"/>
      <w:r w:rsidR="00942C8E">
        <w:t>free</w:t>
      </w:r>
      <w:r w:rsidR="008E1550">
        <w:t>ly-varying</w:t>
      </w:r>
      <w:proofErr w:type="gramEnd"/>
      <w:r w:rsidR="00942C8E">
        <w:t xml:space="preserve"> and fixed model parameters (</w:t>
      </w:r>
      <w:r w:rsidR="00942C8E" w:rsidRPr="001B17C4">
        <w:rPr>
          <w:i/>
          <w:iCs/>
        </w:rPr>
        <w:t>B</w:t>
      </w:r>
      <w:r w:rsidR="001B17C4" w:rsidRPr="001B17C4">
        <w:rPr>
          <w:i/>
          <w:iCs/>
          <w:vertAlign w:val="subscript"/>
        </w:rPr>
        <w:t>MSY</w:t>
      </w:r>
      <w:r w:rsidR="00942C8E" w:rsidRPr="001B17C4">
        <w:rPr>
          <w:i/>
          <w:iCs/>
        </w:rPr>
        <w:t>, U</w:t>
      </w:r>
      <w:r w:rsidR="001B17C4" w:rsidRPr="001B17C4">
        <w:rPr>
          <w:i/>
          <w:iCs/>
          <w:vertAlign w:val="subscript"/>
        </w:rPr>
        <w:t>MSY</w:t>
      </w:r>
      <w:r w:rsidR="00942C8E" w:rsidRPr="001B17C4">
        <w:rPr>
          <w:i/>
          <w:iCs/>
        </w:rPr>
        <w:t>, p</w:t>
      </w:r>
      <w:r w:rsidR="00942C8E">
        <w:t xml:space="preserve">) as well as different input data sets. The biomass source </w:t>
      </w:r>
      <w:r w:rsidR="00B454F4">
        <w:t>is total biomass</w:t>
      </w:r>
      <w:r w:rsidR="008E1550">
        <w:t xml:space="preserve"> (which, when necessary, is converted from </w:t>
      </w:r>
      <w:r w:rsidR="008E1550" w:rsidRPr="001B17C4">
        <w:rPr>
          <w:i/>
          <w:iCs/>
        </w:rPr>
        <w:t>SSB</w:t>
      </w:r>
      <w:r w:rsidR="002A353C">
        <w:rPr>
          <w:i/>
          <w:iCs/>
        </w:rPr>
        <w:t xml:space="preserve"> </w:t>
      </w:r>
      <w:r w:rsidR="002A353C">
        <w:t>as described in RAM B-Conversion Guide....docx’</w:t>
      </w:r>
      <w:r w:rsidR="008E1550">
        <w:t>)</w:t>
      </w:r>
      <w:r w:rsidR="00942C8E">
        <w:t xml:space="preserve">, and </w:t>
      </w:r>
      <w:r w:rsidR="008E1550">
        <w:t xml:space="preserve">annual values of observed </w:t>
      </w:r>
      <w:r w:rsidR="00942C8E">
        <w:t xml:space="preserve">surplus production </w:t>
      </w:r>
      <w:r w:rsidR="008E1550">
        <w:t>are</w:t>
      </w:r>
      <w:r w:rsidR="00942C8E">
        <w:t xml:space="preserve"> </w:t>
      </w:r>
      <w:r w:rsidR="008E1550">
        <w:t>calculated</w:t>
      </w:r>
      <w:r w:rsidR="00942C8E">
        <w:t xml:space="preserve"> from </w:t>
      </w:r>
      <w:r w:rsidR="00B454F4">
        <w:t>total biomass and total catch or landings</w:t>
      </w:r>
      <w:r w:rsidR="008E1550">
        <w:t xml:space="preserve"> (</w:t>
      </w:r>
      <w:r w:rsidR="008E1550" w:rsidRPr="008E1550">
        <w:rPr>
          <w:b/>
          <w:i/>
        </w:rPr>
        <w:t>Appendix 1</w:t>
      </w:r>
      <w:r w:rsidR="008E1550">
        <w:t>)</w:t>
      </w:r>
      <w:r w:rsidR="00B454F4">
        <w:t xml:space="preserve">. </w:t>
      </w:r>
      <w:r w:rsidR="00942C8E">
        <w:t xml:space="preserve">The sources of the assessment data are specified </w:t>
      </w:r>
      <w:r w:rsidR="008E1550">
        <w:t>in</w:t>
      </w:r>
      <w:r w:rsidR="00942C8E">
        <w:t xml:space="preserve"> </w:t>
      </w:r>
      <w:r w:rsidR="00942C8E" w:rsidRPr="008334AD">
        <w:rPr>
          <w:b/>
          <w:i/>
        </w:rPr>
        <w:t>Tables 2 and 3</w:t>
      </w:r>
      <w:r w:rsidR="00942C8E">
        <w:t xml:space="preserve">. </w:t>
      </w:r>
    </w:p>
    <w:p w14:paraId="01C8E0C6" w14:textId="5921747E" w:rsidR="008435D6" w:rsidRDefault="00942C8E" w:rsidP="00921AC6">
      <w:r>
        <w:t xml:space="preserve">The protocol for the model fitting procedure is </w:t>
      </w:r>
      <w:r w:rsidR="008E1550">
        <w:t>as follows</w:t>
      </w:r>
      <w:r>
        <w:t>:</w:t>
      </w:r>
    </w:p>
    <w:p w14:paraId="1263CBD9" w14:textId="77777777" w:rsidR="005A502A" w:rsidRDefault="005A502A" w:rsidP="005A502A">
      <w:pPr>
        <w:pStyle w:val="ListParagraph"/>
        <w:numPr>
          <w:ilvl w:val="0"/>
          <w:numId w:val="2"/>
        </w:numPr>
      </w:pPr>
      <w:r>
        <w:t xml:space="preserve">Assessments are checked to see if they have the </w:t>
      </w:r>
      <w:r w:rsidR="00D61BD2">
        <w:t>necessary</w:t>
      </w:r>
      <w:r>
        <w:t xml:space="preserve"> time series (</w:t>
      </w:r>
      <w:r w:rsidRPr="001B17C4">
        <w:rPr>
          <w:i/>
          <w:iCs/>
        </w:rPr>
        <w:t>TB</w:t>
      </w:r>
      <w:r w:rsidR="009A3E5D">
        <w:t xml:space="preserve">, which may be converted from </w:t>
      </w:r>
      <w:r w:rsidR="009A3E5D" w:rsidRPr="001B17C4">
        <w:rPr>
          <w:i/>
          <w:iCs/>
        </w:rPr>
        <w:t>SSB</w:t>
      </w:r>
      <w:r w:rsidR="009A3E5D">
        <w:t xml:space="preserve"> if necessary, and either </w:t>
      </w:r>
      <w:r w:rsidRPr="001B17C4">
        <w:rPr>
          <w:i/>
          <w:iCs/>
        </w:rPr>
        <w:t>TC</w:t>
      </w:r>
      <w:r w:rsidR="005245AF">
        <w:t xml:space="preserve"> or </w:t>
      </w:r>
      <w:r w:rsidRPr="001B17C4">
        <w:rPr>
          <w:i/>
          <w:iCs/>
        </w:rPr>
        <w:t>TL</w:t>
      </w:r>
      <w:r w:rsidR="009A3E5D">
        <w:t>), all</w:t>
      </w:r>
      <w:r>
        <w:t xml:space="preserve"> in </w:t>
      </w:r>
      <w:r w:rsidR="00D61BD2">
        <w:t>metric tons</w:t>
      </w:r>
      <w:r w:rsidR="009A3E5D">
        <w:t>.</w:t>
      </w:r>
      <w:r>
        <w:t xml:space="preserve"> </w:t>
      </w:r>
      <w:r w:rsidR="009A3E5D">
        <w:t xml:space="preserve">The number of values of annual surplus production calculated from these time series must also be </w:t>
      </w:r>
      <w:r>
        <w:t>greater than five years.</w:t>
      </w:r>
    </w:p>
    <w:p w14:paraId="198FF4FD" w14:textId="6DA67EFC" w:rsidR="00D61BD2" w:rsidRDefault="00D61BD2" w:rsidP="005A502A">
      <w:pPr>
        <w:pStyle w:val="ListParagraph"/>
        <w:numPr>
          <w:ilvl w:val="0"/>
          <w:numId w:val="2"/>
        </w:numPr>
      </w:pPr>
      <w:r>
        <w:t xml:space="preserve">Model fits are performed across all cases </w:t>
      </w:r>
      <w:r w:rsidR="009A3E5D">
        <w:t xml:space="preserve">satisfying the </w:t>
      </w:r>
      <w:r>
        <w:t>d</w:t>
      </w:r>
      <w:r w:rsidR="00445594">
        <w:t>ata requirements</w:t>
      </w:r>
      <w:r w:rsidR="00EC3FF8">
        <w:t xml:space="preserve"> for fixed values (</w:t>
      </w:r>
      <w:r w:rsidR="00EC3FF8" w:rsidRPr="008334AD">
        <w:rPr>
          <w:b/>
          <w:i/>
        </w:rPr>
        <w:t>Table 4</w:t>
      </w:r>
      <w:r w:rsidR="00EC3FF8">
        <w:t>)</w:t>
      </w:r>
      <w:r w:rsidR="00445594">
        <w:t xml:space="preserve">. For example, </w:t>
      </w:r>
      <w:r w:rsidR="009A3E5D">
        <w:t xml:space="preserve">an assessment that contains an estimate of </w:t>
      </w:r>
      <w:r w:rsidR="009A3E5D" w:rsidRPr="001B17C4">
        <w:rPr>
          <w:i/>
          <w:iCs/>
        </w:rPr>
        <w:t>B</w:t>
      </w:r>
      <w:r w:rsidR="001B17C4" w:rsidRPr="001B17C4">
        <w:rPr>
          <w:i/>
          <w:iCs/>
          <w:vertAlign w:val="subscript"/>
        </w:rPr>
        <w:t>MSY</w:t>
      </w:r>
      <w:r w:rsidR="009A3E5D">
        <w:t xml:space="preserve"> but not an estimate of </w:t>
      </w:r>
      <w:r w:rsidR="009A3E5D" w:rsidRPr="001B17C4">
        <w:rPr>
          <w:i/>
          <w:iCs/>
        </w:rPr>
        <w:t>U</w:t>
      </w:r>
      <w:r w:rsidR="001B17C4" w:rsidRPr="001B17C4">
        <w:rPr>
          <w:i/>
          <w:iCs/>
          <w:vertAlign w:val="subscript"/>
        </w:rPr>
        <w:t>MSY</w:t>
      </w:r>
      <w:r w:rsidR="009A3E5D">
        <w:t xml:space="preserve"> will have some models fit to estimate only </w:t>
      </w:r>
      <w:r w:rsidR="009A3E5D" w:rsidRPr="001B17C4">
        <w:rPr>
          <w:i/>
          <w:iCs/>
        </w:rPr>
        <w:t>U</w:t>
      </w:r>
      <w:r w:rsidR="001B17C4" w:rsidRPr="001B17C4">
        <w:rPr>
          <w:i/>
          <w:iCs/>
          <w:vertAlign w:val="subscript"/>
        </w:rPr>
        <w:t>MSY</w:t>
      </w:r>
      <w:r w:rsidR="009A3E5D">
        <w:t xml:space="preserve"> (holding </w:t>
      </w:r>
      <w:r w:rsidR="009A3E5D" w:rsidRPr="001B17C4">
        <w:rPr>
          <w:i/>
          <w:iCs/>
        </w:rPr>
        <w:t>B</w:t>
      </w:r>
      <w:r w:rsidR="001B17C4" w:rsidRPr="001B17C4">
        <w:rPr>
          <w:i/>
          <w:iCs/>
          <w:vertAlign w:val="subscript"/>
        </w:rPr>
        <w:t>MSY</w:t>
      </w:r>
      <w:r w:rsidR="009A3E5D">
        <w:t xml:space="preserve"> fixed at the assessment-provided value), and other models fit to estimate both </w:t>
      </w:r>
      <w:r w:rsidR="009A3E5D" w:rsidRPr="001B17C4">
        <w:rPr>
          <w:i/>
          <w:iCs/>
        </w:rPr>
        <w:t>B</w:t>
      </w:r>
      <w:r w:rsidR="001B17C4" w:rsidRPr="001B17C4">
        <w:rPr>
          <w:i/>
          <w:iCs/>
          <w:vertAlign w:val="subscript"/>
        </w:rPr>
        <w:t>MSY</w:t>
      </w:r>
      <w:r w:rsidR="001B17C4">
        <w:rPr>
          <w:vertAlign w:val="subscript"/>
        </w:rPr>
        <w:t xml:space="preserve"> </w:t>
      </w:r>
      <w:r w:rsidR="009A3E5D">
        <w:t xml:space="preserve">and </w:t>
      </w:r>
      <w:r w:rsidR="009A3E5D" w:rsidRPr="001B17C4">
        <w:rPr>
          <w:i/>
          <w:iCs/>
        </w:rPr>
        <w:t>U</w:t>
      </w:r>
      <w:r w:rsidR="001B17C4" w:rsidRPr="001B17C4">
        <w:rPr>
          <w:i/>
          <w:iCs/>
          <w:vertAlign w:val="subscript"/>
        </w:rPr>
        <w:t>MSY</w:t>
      </w:r>
      <w:r w:rsidR="009A3E5D">
        <w:t xml:space="preserve"> (while ignoring the assessment-provided value of </w:t>
      </w:r>
      <w:r w:rsidR="009A3E5D" w:rsidRPr="001B17C4">
        <w:rPr>
          <w:i/>
          <w:iCs/>
        </w:rPr>
        <w:t>B</w:t>
      </w:r>
      <w:r w:rsidR="001B17C4" w:rsidRPr="001B17C4">
        <w:rPr>
          <w:i/>
          <w:iCs/>
          <w:vertAlign w:val="subscript"/>
        </w:rPr>
        <w:t>MSY</w:t>
      </w:r>
      <w:r w:rsidR="009A3E5D">
        <w:t>; these “redundant” fits are done for purposes of cross-validation with assessment-estimated values).</w:t>
      </w:r>
    </w:p>
    <w:p w14:paraId="42B65E62" w14:textId="77777777" w:rsidR="00445594" w:rsidRDefault="00445594" w:rsidP="005A502A">
      <w:pPr>
        <w:pStyle w:val="ListParagraph"/>
        <w:numPr>
          <w:ilvl w:val="0"/>
          <w:numId w:val="2"/>
        </w:numPr>
      </w:pPr>
      <w:r>
        <w:t xml:space="preserve">If the set of initial </w:t>
      </w:r>
      <w:r w:rsidR="009A3E5D">
        <w:t>parameter</w:t>
      </w:r>
      <w:r w:rsidR="00932880">
        <w:t xml:space="preserve"> </w:t>
      </w:r>
      <w:r>
        <w:t>values does not result in a converged model fit, a new set is used</w:t>
      </w:r>
      <w:r w:rsidR="00EC3FF8">
        <w:t xml:space="preserve"> (</w:t>
      </w:r>
      <w:r w:rsidR="00EC3FF8" w:rsidRPr="008334AD">
        <w:rPr>
          <w:b/>
          <w:i/>
        </w:rPr>
        <w:t>Table 5</w:t>
      </w:r>
      <w:r w:rsidR="00EC3FF8">
        <w:t>)</w:t>
      </w:r>
      <w:r>
        <w:t xml:space="preserve">. This is repeated if </w:t>
      </w:r>
      <w:r w:rsidR="009A3E5D">
        <w:t xml:space="preserve">those </w:t>
      </w:r>
      <w:r>
        <w:t>subsequent initial values do not yield a converged fit</w:t>
      </w:r>
      <w:r w:rsidR="009A3E5D">
        <w:t xml:space="preserve"> until convergence is achieved</w:t>
      </w:r>
      <w:r>
        <w:t>.</w:t>
      </w:r>
    </w:p>
    <w:p w14:paraId="694FB296" w14:textId="631CCF73" w:rsidR="00932880" w:rsidRDefault="009A3E5D" w:rsidP="00932880">
      <w:pPr>
        <w:pStyle w:val="ListParagraph"/>
        <w:numPr>
          <w:ilvl w:val="0"/>
          <w:numId w:val="2"/>
        </w:numPr>
      </w:pPr>
      <w:r>
        <w:t>Results from c</w:t>
      </w:r>
      <w:r w:rsidR="00932880">
        <w:t>onverged model fit</w:t>
      </w:r>
      <w:r>
        <w:t>s</w:t>
      </w:r>
      <w:r w:rsidR="00932880">
        <w:t xml:space="preserve"> are filtered through a set of pass/fail criteria (</w:t>
      </w:r>
      <w:r w:rsidR="00932880" w:rsidRPr="008334AD">
        <w:rPr>
          <w:b/>
          <w:i/>
        </w:rPr>
        <w:t>Table 6</w:t>
      </w:r>
      <w:r>
        <w:t>). If the model fits</w:t>
      </w:r>
      <w:r w:rsidR="00932880">
        <w:t xml:space="preserve"> pass</w:t>
      </w:r>
      <w:r>
        <w:t xml:space="preserve"> all criteria</w:t>
      </w:r>
      <w:r w:rsidR="00932880">
        <w:t xml:space="preserve"> and </w:t>
      </w:r>
      <w:r>
        <w:t xml:space="preserve">if </w:t>
      </w:r>
      <w:r w:rsidR="00932880">
        <w:t>the model fit is appropriate for the stock (</w:t>
      </w:r>
      <w:r>
        <w:t>e.g.</w:t>
      </w:r>
      <w:r w:rsidR="00932880">
        <w:t xml:space="preserve"> a stock with an assessment</w:t>
      </w:r>
      <w:r>
        <w:t>-provided</w:t>
      </w:r>
      <w:r w:rsidR="00932880">
        <w:t xml:space="preserve"> B</w:t>
      </w:r>
      <w:r w:rsidR="001B17C4" w:rsidRPr="008E1550">
        <w:rPr>
          <w:vertAlign w:val="subscript"/>
        </w:rPr>
        <w:t>MSY</w:t>
      </w:r>
      <w:r w:rsidR="00932880">
        <w:t xml:space="preserve"> would use a model </w:t>
      </w:r>
      <w:r>
        <w:t xml:space="preserve">that holds this </w:t>
      </w:r>
      <w:r w:rsidRPr="001B17C4">
        <w:rPr>
          <w:i/>
          <w:iCs/>
        </w:rPr>
        <w:t>B</w:t>
      </w:r>
      <w:r w:rsidR="001B17C4" w:rsidRPr="001B17C4">
        <w:rPr>
          <w:i/>
          <w:iCs/>
          <w:vertAlign w:val="subscript"/>
        </w:rPr>
        <w:t>MSY</w:t>
      </w:r>
      <w:r>
        <w:t xml:space="preserve"> estimate as a </w:t>
      </w:r>
      <w:r w:rsidR="00932880">
        <w:t xml:space="preserve">fixed </w:t>
      </w:r>
      <w:r w:rsidR="00A1013D">
        <w:t>value</w:t>
      </w:r>
      <w:r w:rsidR="00932880">
        <w:t>) the</w:t>
      </w:r>
      <w:r w:rsidR="00A1013D">
        <w:t>n it is considered fully passed and used to supplement missing BRPs. Models that pas</w:t>
      </w:r>
      <w:r w:rsidR="00600263">
        <w:t>s</w:t>
      </w:r>
      <w:r w:rsidR="00A1013D">
        <w:t xml:space="preserve"> all criteria but are not considered appropriate (e.g. if both </w:t>
      </w:r>
      <w:r w:rsidR="00A1013D" w:rsidRPr="001B17C4">
        <w:rPr>
          <w:i/>
          <w:iCs/>
        </w:rPr>
        <w:t>B</w:t>
      </w:r>
      <w:r w:rsidR="001B17C4" w:rsidRPr="001B17C4">
        <w:rPr>
          <w:i/>
          <w:iCs/>
          <w:vertAlign w:val="subscript"/>
        </w:rPr>
        <w:t>MSY</w:t>
      </w:r>
      <w:r w:rsidR="00A1013D">
        <w:t xml:space="preserve"> and </w:t>
      </w:r>
      <w:r w:rsidR="00A1013D" w:rsidRPr="001B17C4">
        <w:rPr>
          <w:i/>
          <w:iCs/>
        </w:rPr>
        <w:t>U</w:t>
      </w:r>
      <w:r w:rsidR="001B17C4" w:rsidRPr="001B17C4">
        <w:rPr>
          <w:i/>
          <w:iCs/>
          <w:vertAlign w:val="subscript"/>
        </w:rPr>
        <w:t>MSY</w:t>
      </w:r>
      <w:r w:rsidR="00A1013D">
        <w:t xml:space="preserve"> are estimated as </w:t>
      </w:r>
      <w:proofErr w:type="gramStart"/>
      <w:r w:rsidR="00A1013D">
        <w:t>freely-varying</w:t>
      </w:r>
      <w:proofErr w:type="gramEnd"/>
      <w:r w:rsidR="00A1013D">
        <w:t xml:space="preserve"> </w:t>
      </w:r>
      <w:r w:rsidR="00A1013D">
        <w:lastRenderedPageBreak/>
        <w:t xml:space="preserve">parameters even though an assessment-estimated value of </w:t>
      </w:r>
      <w:r w:rsidR="00A1013D" w:rsidRPr="001B17C4">
        <w:rPr>
          <w:i/>
          <w:iCs/>
        </w:rPr>
        <w:t>B</w:t>
      </w:r>
      <w:r w:rsidR="001B17C4" w:rsidRPr="001B17C4">
        <w:rPr>
          <w:i/>
          <w:iCs/>
          <w:vertAlign w:val="subscript"/>
        </w:rPr>
        <w:t>MSY</w:t>
      </w:r>
      <w:r w:rsidR="00A1013D">
        <w:t xml:space="preserve"> is available) are used in cross-validations, but are not reported in the RAM Legacy Database.</w:t>
      </w:r>
    </w:p>
    <w:p w14:paraId="10CA6147" w14:textId="4AB81E25" w:rsidR="00C401E8" w:rsidRPr="00921AC6" w:rsidRDefault="00C401E8" w:rsidP="00932880">
      <w:pPr>
        <w:pStyle w:val="ListParagraph"/>
        <w:numPr>
          <w:ilvl w:val="0"/>
          <w:numId w:val="2"/>
        </w:numPr>
      </w:pPr>
      <w:r>
        <w:t xml:space="preserve">A hierarchical list of models is generated from the model fit results, and the estimated parameters from the </w:t>
      </w:r>
      <w:r w:rsidR="00447251">
        <w:t>highest-ranking</w:t>
      </w:r>
      <w:r>
        <w:t xml:space="preserve"> model that passed and fits the data scenario of the stock are selected.</w:t>
      </w:r>
    </w:p>
    <w:p w14:paraId="31830E4B" w14:textId="77777777" w:rsidR="002C1F9A" w:rsidRDefault="002C1F9A" w:rsidP="00C074D2">
      <w:pPr>
        <w:jc w:val="center"/>
        <w:rPr>
          <w:b/>
          <w:sz w:val="32"/>
          <w:szCs w:val="32"/>
        </w:rPr>
      </w:pPr>
    </w:p>
    <w:p w14:paraId="0BC81902" w14:textId="77777777" w:rsidR="00DA6BA1" w:rsidRPr="00445594" w:rsidRDefault="00A1013D" w:rsidP="00DA6BA1">
      <w:pPr>
        <w:jc w:val="center"/>
        <w:rPr>
          <w:b/>
          <w:sz w:val="32"/>
          <w:szCs w:val="32"/>
        </w:rPr>
      </w:pPr>
      <w:r>
        <w:rPr>
          <w:b/>
          <w:sz w:val="32"/>
          <w:szCs w:val="32"/>
        </w:rPr>
        <w:t xml:space="preserve">Model Fit </w:t>
      </w:r>
      <w:r w:rsidR="00C074D2" w:rsidRPr="00445594">
        <w:rPr>
          <w:b/>
          <w:sz w:val="32"/>
          <w:szCs w:val="32"/>
        </w:rPr>
        <w:t>Cases</w:t>
      </w:r>
      <w:r w:rsidR="00445594" w:rsidRPr="00445594">
        <w:rPr>
          <w:b/>
          <w:sz w:val="32"/>
          <w:szCs w:val="32"/>
        </w:rPr>
        <w:t xml:space="preserve"> (Table 1)</w:t>
      </w:r>
    </w:p>
    <w:p w14:paraId="16741954" w14:textId="77777777" w:rsidR="00C074D2" w:rsidRDefault="004D5C41">
      <w:r>
        <w:t>This table presents the</w:t>
      </w:r>
      <w:r w:rsidR="00593632">
        <w:t xml:space="preserve"> </w:t>
      </w:r>
      <w:r w:rsidR="00A1013D">
        <w:t>possible</w:t>
      </w:r>
      <w:r w:rsidR="00445594">
        <w:t xml:space="preserve"> cases </w:t>
      </w:r>
      <w:r w:rsidR="00A1013D">
        <w:t>of data scenarios and shape parameter values considered for fitting surplus production models</w:t>
      </w:r>
      <w:r w:rsidR="002C1F9A">
        <w:t xml:space="preserve">. </w:t>
      </w:r>
      <w:r w:rsidR="00A1013D">
        <w:t xml:space="preserve">Reference points </w:t>
      </w:r>
      <w:r w:rsidR="00A1013D" w:rsidRPr="001B17C4">
        <w:rPr>
          <w:i/>
          <w:iCs/>
        </w:rPr>
        <w:t>ER</w:t>
      </w:r>
      <w:r w:rsidR="00A1013D" w:rsidRPr="001B17C4">
        <w:rPr>
          <w:i/>
          <w:iCs/>
          <w:vertAlign w:val="subscript"/>
        </w:rPr>
        <w:t>MSY</w:t>
      </w:r>
      <w:r w:rsidR="00A1013D">
        <w:t xml:space="preserve"> and </w:t>
      </w:r>
      <w:r w:rsidR="00A1013D" w:rsidRPr="001B17C4">
        <w:rPr>
          <w:i/>
          <w:iCs/>
        </w:rPr>
        <w:t>TB</w:t>
      </w:r>
      <w:r w:rsidR="00A1013D" w:rsidRPr="001B17C4">
        <w:rPr>
          <w:i/>
          <w:iCs/>
          <w:vertAlign w:val="subscript"/>
        </w:rPr>
        <w:t>MSY</w:t>
      </w:r>
      <w:r w:rsidR="00A1013D">
        <w:t xml:space="preserve"> are either held fixed at the values drawn from assessments (“Assessment”</w:t>
      </w:r>
      <w:r w:rsidR="006A4469">
        <w:t>, if available</w:t>
      </w:r>
      <w:r w:rsidR="00A1013D">
        <w:t>) or a</w:t>
      </w:r>
      <w:r w:rsidR="006A4469">
        <w:t xml:space="preserve">re </w:t>
      </w:r>
      <w:proofErr w:type="gramStart"/>
      <w:r w:rsidR="006A4469">
        <w:t>freely-varying</w:t>
      </w:r>
      <w:proofErr w:type="gramEnd"/>
      <w:r w:rsidR="006A4469">
        <w:t xml:space="preserve"> (“Estimated”)</w:t>
      </w:r>
      <w:r w:rsidR="00A1013D">
        <w:t>. Fixed values of shape parameters (“</w:t>
      </w:r>
      <w:r w:rsidR="00A1013D" w:rsidRPr="00E22BE1">
        <w:rPr>
          <w:i/>
          <w:iCs/>
        </w:rPr>
        <w:t>p</w:t>
      </w:r>
      <w:r w:rsidR="00A1013D">
        <w:t xml:space="preserve"> State”) are listed in </w:t>
      </w:r>
      <w:r w:rsidR="00A1013D" w:rsidRPr="00A1013D">
        <w:rPr>
          <w:b/>
        </w:rPr>
        <w:t>Table 4</w:t>
      </w:r>
      <w:r w:rsidR="00A1013D">
        <w:t>.</w:t>
      </w:r>
    </w:p>
    <w:p w14:paraId="7EFC5672" w14:textId="755C5327" w:rsidR="00A1013D" w:rsidRDefault="00A1013D">
      <w:r>
        <w:t xml:space="preserve">Cases are compared based on cross-validations </w:t>
      </w:r>
      <w:r w:rsidR="006A4469">
        <w:t>of estimated reference points between surplus production model fits and assessments</w:t>
      </w:r>
      <w:r>
        <w:t xml:space="preserve"> </w:t>
      </w:r>
      <w:r w:rsidR="001B17C4">
        <w:t>to</w:t>
      </w:r>
      <w:r>
        <w:t xml:space="preserve"> identify the most suitable shape parameter to assume for each case of data availability (only </w:t>
      </w:r>
      <w:r w:rsidRPr="001B17C4">
        <w:rPr>
          <w:i/>
          <w:iCs/>
        </w:rPr>
        <w:t>ER</w:t>
      </w:r>
      <w:r w:rsidRPr="001B17C4">
        <w:rPr>
          <w:i/>
          <w:iCs/>
          <w:vertAlign w:val="subscript"/>
        </w:rPr>
        <w:t>MSY</w:t>
      </w:r>
      <w:r>
        <w:t xml:space="preserve"> required, only </w:t>
      </w:r>
      <w:r w:rsidRPr="001B17C4">
        <w:rPr>
          <w:i/>
          <w:iCs/>
        </w:rPr>
        <w:t>TB</w:t>
      </w:r>
      <w:r w:rsidRPr="001B17C4">
        <w:rPr>
          <w:i/>
          <w:iCs/>
          <w:vertAlign w:val="subscript"/>
        </w:rPr>
        <w:t>MSY</w:t>
      </w:r>
      <w:r>
        <w:t xml:space="preserve"> required, or both </w:t>
      </w:r>
      <w:r w:rsidRPr="001B17C4">
        <w:rPr>
          <w:i/>
          <w:iCs/>
        </w:rPr>
        <w:t>ER</w:t>
      </w:r>
      <w:r w:rsidRPr="001B17C4">
        <w:rPr>
          <w:i/>
          <w:iCs/>
          <w:vertAlign w:val="subscript"/>
        </w:rPr>
        <w:t>MSY</w:t>
      </w:r>
      <w:r>
        <w:t xml:space="preserve"> and </w:t>
      </w:r>
      <w:r w:rsidRPr="001B17C4">
        <w:rPr>
          <w:i/>
          <w:iCs/>
        </w:rPr>
        <w:t>TB</w:t>
      </w:r>
      <w:r w:rsidRPr="001B17C4">
        <w:rPr>
          <w:i/>
          <w:iCs/>
          <w:vertAlign w:val="subscript"/>
        </w:rPr>
        <w:t>MSY</w:t>
      </w:r>
      <w:r>
        <w:t xml:space="preserve"> required). Case 19 is considered only for estimating ‘Empirical-taxonomic’ mean values of </w:t>
      </w:r>
      <w:r w:rsidRPr="002A353C">
        <w:rPr>
          <w:i/>
          <w:iCs/>
        </w:rPr>
        <w:t>p</w:t>
      </w:r>
      <w:r>
        <w:t xml:space="preserve"> for each </w:t>
      </w:r>
      <w:proofErr w:type="spellStart"/>
      <w:r>
        <w:t>taxgroup</w:t>
      </w:r>
      <w:proofErr w:type="spellEnd"/>
      <w:r>
        <w:t xml:space="preserve">. Cases with </w:t>
      </w:r>
      <w:proofErr w:type="gramStart"/>
      <w:r>
        <w:t>freely-varying</w:t>
      </w:r>
      <w:proofErr w:type="gramEnd"/>
      <w:r>
        <w:t xml:space="preserve"> shape parameters (“</w:t>
      </w:r>
      <w:r w:rsidRPr="00E22BE1">
        <w:rPr>
          <w:i/>
          <w:iCs/>
        </w:rPr>
        <w:t>p</w:t>
      </w:r>
      <w:r>
        <w:t xml:space="preserve"> State” = “Estimated”) were not considered in comparisons for estimating missing values of </w:t>
      </w:r>
      <w:r w:rsidRPr="001B17C4">
        <w:rPr>
          <w:i/>
          <w:iCs/>
        </w:rPr>
        <w:t>ER</w:t>
      </w:r>
      <w:r w:rsidRPr="001B17C4">
        <w:rPr>
          <w:i/>
          <w:iCs/>
          <w:vertAlign w:val="subscript"/>
        </w:rPr>
        <w:t>MSY</w:t>
      </w:r>
      <w:r>
        <w:t xml:space="preserve"> and/or </w:t>
      </w:r>
      <w:r w:rsidRPr="001B17C4">
        <w:rPr>
          <w:i/>
          <w:iCs/>
        </w:rPr>
        <w:t>TB</w:t>
      </w:r>
      <w:r w:rsidRPr="001B17C4">
        <w:rPr>
          <w:i/>
          <w:iCs/>
          <w:vertAlign w:val="subscript"/>
        </w:rPr>
        <w:t>MSY</w:t>
      </w:r>
      <w:r>
        <w:t xml:space="preserve"> </w:t>
      </w:r>
      <w:r w:rsidR="006A4469">
        <w:t>because</w:t>
      </w:r>
      <w:r>
        <w:t xml:space="preserve"> they were frequently estimated near fuzzy boundaries of the penalty function despite a wide range of allowed values.</w:t>
      </w:r>
    </w:p>
    <w:p w14:paraId="318D56B1" w14:textId="77777777" w:rsidR="00C074D2" w:rsidRDefault="00C074D2"/>
    <w:tbl>
      <w:tblPr>
        <w:tblStyle w:val="TableGrid"/>
        <w:tblW w:w="0" w:type="auto"/>
        <w:tblLook w:val="04A0" w:firstRow="1" w:lastRow="0" w:firstColumn="1" w:lastColumn="0" w:noHBand="0" w:noVBand="1"/>
      </w:tblPr>
      <w:tblGrid>
        <w:gridCol w:w="904"/>
        <w:gridCol w:w="1381"/>
        <w:gridCol w:w="1381"/>
        <w:gridCol w:w="4092"/>
      </w:tblGrid>
      <w:tr w:rsidR="00B454F4" w14:paraId="125F1D72" w14:textId="77777777" w:rsidTr="006A4469">
        <w:tc>
          <w:tcPr>
            <w:tcW w:w="904" w:type="dxa"/>
          </w:tcPr>
          <w:p w14:paraId="164380C5" w14:textId="77777777" w:rsidR="00B454F4" w:rsidRPr="009703BF" w:rsidRDefault="00B454F4" w:rsidP="004C75D9">
            <w:pPr>
              <w:rPr>
                <w:b/>
              </w:rPr>
            </w:pPr>
            <w:r w:rsidRPr="009703BF">
              <w:rPr>
                <w:b/>
              </w:rPr>
              <w:t>Case #</w:t>
            </w:r>
          </w:p>
        </w:tc>
        <w:tc>
          <w:tcPr>
            <w:tcW w:w="1381" w:type="dxa"/>
          </w:tcPr>
          <w:p w14:paraId="36AFCF72" w14:textId="77777777" w:rsidR="00B454F4" w:rsidRPr="009703BF" w:rsidRDefault="00B454F4">
            <w:pPr>
              <w:rPr>
                <w:b/>
              </w:rPr>
            </w:pPr>
            <w:proofErr w:type="spellStart"/>
            <w:r w:rsidRPr="009703BF">
              <w:rPr>
                <w:b/>
              </w:rPr>
              <w:t>Umsy</w:t>
            </w:r>
            <w:proofErr w:type="spellEnd"/>
            <w:r w:rsidRPr="009703BF">
              <w:rPr>
                <w:b/>
              </w:rPr>
              <w:t xml:space="preserve"> State</w:t>
            </w:r>
          </w:p>
        </w:tc>
        <w:tc>
          <w:tcPr>
            <w:tcW w:w="1381" w:type="dxa"/>
          </w:tcPr>
          <w:p w14:paraId="11B62601" w14:textId="77777777" w:rsidR="00B454F4" w:rsidRPr="009703BF" w:rsidRDefault="00B454F4">
            <w:pPr>
              <w:rPr>
                <w:b/>
              </w:rPr>
            </w:pPr>
            <w:proofErr w:type="spellStart"/>
            <w:r w:rsidRPr="009703BF">
              <w:rPr>
                <w:b/>
              </w:rPr>
              <w:t>Bmsy</w:t>
            </w:r>
            <w:proofErr w:type="spellEnd"/>
            <w:r w:rsidRPr="009703BF">
              <w:rPr>
                <w:b/>
              </w:rPr>
              <w:t xml:space="preserve"> State</w:t>
            </w:r>
          </w:p>
        </w:tc>
        <w:tc>
          <w:tcPr>
            <w:tcW w:w="4092" w:type="dxa"/>
          </w:tcPr>
          <w:p w14:paraId="13DCA2D2" w14:textId="77777777" w:rsidR="00B454F4" w:rsidRPr="009703BF" w:rsidRDefault="00A1013D">
            <w:pPr>
              <w:rPr>
                <w:b/>
              </w:rPr>
            </w:pPr>
            <w:r w:rsidRPr="00E22BE1">
              <w:rPr>
                <w:b/>
                <w:i/>
                <w:iCs/>
              </w:rPr>
              <w:t>p</w:t>
            </w:r>
            <w:r w:rsidR="00B454F4" w:rsidRPr="009703BF">
              <w:rPr>
                <w:b/>
              </w:rPr>
              <w:t xml:space="preserve"> State</w:t>
            </w:r>
          </w:p>
        </w:tc>
      </w:tr>
      <w:tr w:rsidR="00B454F4" w14:paraId="3502D1F8" w14:textId="77777777" w:rsidTr="006A4469">
        <w:tc>
          <w:tcPr>
            <w:tcW w:w="904" w:type="dxa"/>
            <w:shd w:val="clear" w:color="auto" w:fill="auto"/>
          </w:tcPr>
          <w:p w14:paraId="65F95902" w14:textId="77777777" w:rsidR="00B454F4" w:rsidRPr="009703BF" w:rsidRDefault="00B454F4">
            <w:pPr>
              <w:rPr>
                <w:b/>
              </w:rPr>
            </w:pPr>
            <w:r w:rsidRPr="009703BF">
              <w:rPr>
                <w:b/>
              </w:rPr>
              <w:t>1</w:t>
            </w:r>
          </w:p>
        </w:tc>
        <w:tc>
          <w:tcPr>
            <w:tcW w:w="1381" w:type="dxa"/>
            <w:shd w:val="clear" w:color="auto" w:fill="auto"/>
          </w:tcPr>
          <w:p w14:paraId="29D87D37" w14:textId="77777777" w:rsidR="00B454F4" w:rsidRDefault="00B454F4">
            <w:r>
              <w:t>Estimated</w:t>
            </w:r>
          </w:p>
        </w:tc>
        <w:tc>
          <w:tcPr>
            <w:tcW w:w="1381" w:type="dxa"/>
            <w:shd w:val="clear" w:color="auto" w:fill="auto"/>
          </w:tcPr>
          <w:p w14:paraId="71487880" w14:textId="77777777" w:rsidR="00B454F4" w:rsidRDefault="00B454F4">
            <w:r>
              <w:t>Estimated</w:t>
            </w:r>
          </w:p>
        </w:tc>
        <w:tc>
          <w:tcPr>
            <w:tcW w:w="4092" w:type="dxa"/>
            <w:shd w:val="clear" w:color="auto" w:fill="auto"/>
          </w:tcPr>
          <w:p w14:paraId="0443B852" w14:textId="77777777" w:rsidR="00B454F4" w:rsidRDefault="00B454F4">
            <w:r>
              <w:t>Estimated</w:t>
            </w:r>
            <w:r w:rsidR="006A4469">
              <w:t xml:space="preserve"> (under penalty function)</w:t>
            </w:r>
          </w:p>
        </w:tc>
      </w:tr>
      <w:tr w:rsidR="00B454F4" w14:paraId="4C3DD526" w14:textId="77777777" w:rsidTr="006A4469">
        <w:tc>
          <w:tcPr>
            <w:tcW w:w="904" w:type="dxa"/>
            <w:shd w:val="clear" w:color="auto" w:fill="auto"/>
          </w:tcPr>
          <w:p w14:paraId="483DE911" w14:textId="77777777" w:rsidR="00B454F4" w:rsidRPr="009703BF" w:rsidRDefault="00B454F4">
            <w:pPr>
              <w:rPr>
                <w:b/>
              </w:rPr>
            </w:pPr>
            <w:r w:rsidRPr="009703BF">
              <w:rPr>
                <w:b/>
              </w:rPr>
              <w:t>2</w:t>
            </w:r>
          </w:p>
        </w:tc>
        <w:tc>
          <w:tcPr>
            <w:tcW w:w="1381" w:type="dxa"/>
            <w:shd w:val="clear" w:color="auto" w:fill="auto"/>
          </w:tcPr>
          <w:p w14:paraId="0A230014" w14:textId="77777777" w:rsidR="00B454F4" w:rsidRDefault="00B454F4">
            <w:r>
              <w:t>Estimated</w:t>
            </w:r>
          </w:p>
        </w:tc>
        <w:tc>
          <w:tcPr>
            <w:tcW w:w="1381" w:type="dxa"/>
            <w:shd w:val="clear" w:color="auto" w:fill="auto"/>
          </w:tcPr>
          <w:p w14:paraId="7BC6BD01" w14:textId="77777777" w:rsidR="00B454F4" w:rsidRDefault="00B454F4">
            <w:r>
              <w:t>Estimated</w:t>
            </w:r>
          </w:p>
        </w:tc>
        <w:tc>
          <w:tcPr>
            <w:tcW w:w="4092" w:type="dxa"/>
            <w:shd w:val="clear" w:color="auto" w:fill="auto"/>
          </w:tcPr>
          <w:p w14:paraId="124DC2FB" w14:textId="77777777" w:rsidR="00B454F4" w:rsidRDefault="00B454F4">
            <w:r w:rsidRPr="00B454F4">
              <w:t>Schaefer</w:t>
            </w:r>
          </w:p>
        </w:tc>
      </w:tr>
      <w:tr w:rsidR="00B454F4" w14:paraId="0175B042" w14:textId="77777777" w:rsidTr="006A4469">
        <w:tc>
          <w:tcPr>
            <w:tcW w:w="904" w:type="dxa"/>
            <w:shd w:val="clear" w:color="auto" w:fill="auto"/>
          </w:tcPr>
          <w:p w14:paraId="7B26F4F5" w14:textId="77777777" w:rsidR="00B454F4" w:rsidRPr="009703BF" w:rsidRDefault="00B454F4">
            <w:pPr>
              <w:rPr>
                <w:b/>
              </w:rPr>
            </w:pPr>
            <w:r w:rsidRPr="009703BF">
              <w:rPr>
                <w:b/>
              </w:rPr>
              <w:t>3</w:t>
            </w:r>
          </w:p>
        </w:tc>
        <w:tc>
          <w:tcPr>
            <w:tcW w:w="1381" w:type="dxa"/>
            <w:shd w:val="clear" w:color="auto" w:fill="auto"/>
          </w:tcPr>
          <w:p w14:paraId="20905943" w14:textId="77777777" w:rsidR="00B454F4" w:rsidRDefault="00B454F4">
            <w:r>
              <w:t>Estimated</w:t>
            </w:r>
          </w:p>
        </w:tc>
        <w:tc>
          <w:tcPr>
            <w:tcW w:w="1381" w:type="dxa"/>
            <w:shd w:val="clear" w:color="auto" w:fill="auto"/>
          </w:tcPr>
          <w:p w14:paraId="5CBD155D" w14:textId="77777777" w:rsidR="00B454F4" w:rsidRDefault="00B454F4">
            <w:r>
              <w:t>Estimated</w:t>
            </w:r>
          </w:p>
        </w:tc>
        <w:tc>
          <w:tcPr>
            <w:tcW w:w="4092" w:type="dxa"/>
            <w:shd w:val="clear" w:color="auto" w:fill="auto"/>
          </w:tcPr>
          <w:p w14:paraId="5CE96933" w14:textId="77777777" w:rsidR="00B454F4" w:rsidRDefault="00B454F4">
            <w:r>
              <w:t>Fox</w:t>
            </w:r>
          </w:p>
        </w:tc>
      </w:tr>
      <w:tr w:rsidR="00B454F4" w14:paraId="470EAD27" w14:textId="77777777" w:rsidTr="006A4469">
        <w:tc>
          <w:tcPr>
            <w:tcW w:w="904" w:type="dxa"/>
            <w:shd w:val="clear" w:color="auto" w:fill="auto"/>
          </w:tcPr>
          <w:p w14:paraId="1AF78894" w14:textId="77777777" w:rsidR="00B454F4" w:rsidRPr="009703BF" w:rsidRDefault="00B454F4">
            <w:pPr>
              <w:rPr>
                <w:b/>
              </w:rPr>
            </w:pPr>
            <w:r w:rsidRPr="009703BF">
              <w:rPr>
                <w:b/>
              </w:rPr>
              <w:t>4</w:t>
            </w:r>
          </w:p>
        </w:tc>
        <w:tc>
          <w:tcPr>
            <w:tcW w:w="1381" w:type="dxa"/>
            <w:shd w:val="clear" w:color="auto" w:fill="auto"/>
          </w:tcPr>
          <w:p w14:paraId="253F5CE0" w14:textId="77777777" w:rsidR="00B454F4" w:rsidRDefault="00B454F4">
            <w:r>
              <w:t>Estimated</w:t>
            </w:r>
          </w:p>
        </w:tc>
        <w:tc>
          <w:tcPr>
            <w:tcW w:w="1381" w:type="dxa"/>
            <w:shd w:val="clear" w:color="auto" w:fill="auto"/>
          </w:tcPr>
          <w:p w14:paraId="0ADACAD1" w14:textId="77777777" w:rsidR="00B454F4" w:rsidRDefault="00B454F4">
            <w:r>
              <w:t>Estimated</w:t>
            </w:r>
          </w:p>
        </w:tc>
        <w:tc>
          <w:tcPr>
            <w:tcW w:w="4092" w:type="dxa"/>
            <w:shd w:val="clear" w:color="auto" w:fill="auto"/>
          </w:tcPr>
          <w:p w14:paraId="06A3700F" w14:textId="77777777" w:rsidR="00B454F4" w:rsidRDefault="00C233F3">
            <w:r w:rsidRPr="00C233F3">
              <w:t>Thorson pooled</w:t>
            </w:r>
          </w:p>
        </w:tc>
      </w:tr>
      <w:tr w:rsidR="00B454F4" w14:paraId="2BD48B1E" w14:textId="77777777" w:rsidTr="006A4469">
        <w:tc>
          <w:tcPr>
            <w:tcW w:w="904" w:type="dxa"/>
            <w:shd w:val="clear" w:color="auto" w:fill="auto"/>
          </w:tcPr>
          <w:p w14:paraId="19158E1F" w14:textId="77777777" w:rsidR="00B454F4" w:rsidRPr="009703BF" w:rsidRDefault="00B454F4">
            <w:pPr>
              <w:rPr>
                <w:b/>
              </w:rPr>
            </w:pPr>
            <w:r w:rsidRPr="009703BF">
              <w:rPr>
                <w:b/>
              </w:rPr>
              <w:t>5</w:t>
            </w:r>
          </w:p>
        </w:tc>
        <w:tc>
          <w:tcPr>
            <w:tcW w:w="1381" w:type="dxa"/>
            <w:shd w:val="clear" w:color="auto" w:fill="auto"/>
          </w:tcPr>
          <w:p w14:paraId="6AF9E811" w14:textId="77777777" w:rsidR="00B454F4" w:rsidRDefault="00B454F4">
            <w:r>
              <w:t>Estimated</w:t>
            </w:r>
          </w:p>
        </w:tc>
        <w:tc>
          <w:tcPr>
            <w:tcW w:w="1381" w:type="dxa"/>
            <w:shd w:val="clear" w:color="auto" w:fill="auto"/>
          </w:tcPr>
          <w:p w14:paraId="1048C5D8" w14:textId="77777777" w:rsidR="00B454F4" w:rsidRDefault="00B454F4">
            <w:r>
              <w:t>Estimated</w:t>
            </w:r>
          </w:p>
        </w:tc>
        <w:tc>
          <w:tcPr>
            <w:tcW w:w="4092" w:type="dxa"/>
            <w:shd w:val="clear" w:color="auto" w:fill="auto"/>
          </w:tcPr>
          <w:p w14:paraId="52DAB813" w14:textId="77777777" w:rsidR="00B454F4" w:rsidRDefault="00C233F3">
            <w:r w:rsidRPr="00C233F3">
              <w:t>Thorson taxonomic</w:t>
            </w:r>
          </w:p>
        </w:tc>
      </w:tr>
      <w:tr w:rsidR="00B454F4" w14:paraId="7C273D6F" w14:textId="77777777" w:rsidTr="006A4469">
        <w:tc>
          <w:tcPr>
            <w:tcW w:w="904" w:type="dxa"/>
            <w:shd w:val="clear" w:color="auto" w:fill="auto"/>
          </w:tcPr>
          <w:p w14:paraId="13E9CC0D" w14:textId="77777777" w:rsidR="00B454F4" w:rsidRPr="009703BF" w:rsidRDefault="00B454F4">
            <w:pPr>
              <w:rPr>
                <w:b/>
              </w:rPr>
            </w:pPr>
            <w:r w:rsidRPr="009703BF">
              <w:rPr>
                <w:b/>
              </w:rPr>
              <w:t>6</w:t>
            </w:r>
          </w:p>
        </w:tc>
        <w:tc>
          <w:tcPr>
            <w:tcW w:w="1381" w:type="dxa"/>
            <w:shd w:val="clear" w:color="auto" w:fill="auto"/>
          </w:tcPr>
          <w:p w14:paraId="0B45D383" w14:textId="77777777" w:rsidR="00B454F4" w:rsidRDefault="00B454F4">
            <w:r>
              <w:t>Estimated</w:t>
            </w:r>
          </w:p>
        </w:tc>
        <w:tc>
          <w:tcPr>
            <w:tcW w:w="1381" w:type="dxa"/>
            <w:shd w:val="clear" w:color="auto" w:fill="auto"/>
          </w:tcPr>
          <w:p w14:paraId="10CFF254" w14:textId="77777777" w:rsidR="00B454F4" w:rsidRDefault="00B454F4">
            <w:r>
              <w:t>Estimated</w:t>
            </w:r>
          </w:p>
        </w:tc>
        <w:tc>
          <w:tcPr>
            <w:tcW w:w="4092" w:type="dxa"/>
            <w:shd w:val="clear" w:color="auto" w:fill="auto"/>
          </w:tcPr>
          <w:p w14:paraId="14903AAA" w14:textId="77777777" w:rsidR="00B454F4" w:rsidRDefault="00C233F3" w:rsidP="00D61BD2">
            <w:r>
              <w:t>Empirical-taxonomic</w:t>
            </w:r>
          </w:p>
        </w:tc>
      </w:tr>
      <w:tr w:rsidR="00B454F4" w14:paraId="13EBEA35" w14:textId="77777777" w:rsidTr="006A4469">
        <w:tc>
          <w:tcPr>
            <w:tcW w:w="904" w:type="dxa"/>
            <w:shd w:val="clear" w:color="auto" w:fill="auto"/>
          </w:tcPr>
          <w:p w14:paraId="086CB594" w14:textId="77777777" w:rsidR="00B454F4" w:rsidRPr="009703BF" w:rsidRDefault="00B454F4">
            <w:pPr>
              <w:rPr>
                <w:b/>
              </w:rPr>
            </w:pPr>
            <w:r w:rsidRPr="009703BF">
              <w:rPr>
                <w:b/>
              </w:rPr>
              <w:t>7</w:t>
            </w:r>
          </w:p>
        </w:tc>
        <w:tc>
          <w:tcPr>
            <w:tcW w:w="1381" w:type="dxa"/>
            <w:shd w:val="clear" w:color="auto" w:fill="auto"/>
          </w:tcPr>
          <w:p w14:paraId="4D7E91C2" w14:textId="77777777" w:rsidR="00B454F4" w:rsidRDefault="00B454F4">
            <w:r>
              <w:t>Estimated</w:t>
            </w:r>
          </w:p>
        </w:tc>
        <w:tc>
          <w:tcPr>
            <w:tcW w:w="1381" w:type="dxa"/>
            <w:shd w:val="clear" w:color="auto" w:fill="auto"/>
          </w:tcPr>
          <w:p w14:paraId="0BAA92A7" w14:textId="77777777" w:rsidR="00B454F4" w:rsidRDefault="00B454F4">
            <w:r w:rsidRPr="00C50288">
              <w:t>Assessment</w:t>
            </w:r>
          </w:p>
        </w:tc>
        <w:tc>
          <w:tcPr>
            <w:tcW w:w="4092" w:type="dxa"/>
            <w:shd w:val="clear" w:color="auto" w:fill="auto"/>
          </w:tcPr>
          <w:p w14:paraId="29C8B59C" w14:textId="77777777" w:rsidR="00B454F4" w:rsidRDefault="006A4469" w:rsidP="00D61BD2">
            <w:r>
              <w:t>Estimated (under penalty function)</w:t>
            </w:r>
          </w:p>
        </w:tc>
      </w:tr>
      <w:tr w:rsidR="00B454F4" w14:paraId="7D4BA1E4" w14:textId="77777777" w:rsidTr="006A4469">
        <w:tc>
          <w:tcPr>
            <w:tcW w:w="904" w:type="dxa"/>
            <w:shd w:val="clear" w:color="auto" w:fill="auto"/>
          </w:tcPr>
          <w:p w14:paraId="5C84A022" w14:textId="77777777" w:rsidR="00B454F4" w:rsidRPr="009703BF" w:rsidRDefault="00B454F4">
            <w:pPr>
              <w:rPr>
                <w:b/>
              </w:rPr>
            </w:pPr>
            <w:r w:rsidRPr="009703BF">
              <w:rPr>
                <w:b/>
              </w:rPr>
              <w:t>8</w:t>
            </w:r>
          </w:p>
        </w:tc>
        <w:tc>
          <w:tcPr>
            <w:tcW w:w="1381" w:type="dxa"/>
            <w:shd w:val="clear" w:color="auto" w:fill="auto"/>
          </w:tcPr>
          <w:p w14:paraId="670030FC" w14:textId="77777777" w:rsidR="00B454F4" w:rsidRDefault="00B454F4">
            <w:r>
              <w:t>Estimated</w:t>
            </w:r>
          </w:p>
        </w:tc>
        <w:tc>
          <w:tcPr>
            <w:tcW w:w="1381" w:type="dxa"/>
            <w:shd w:val="clear" w:color="auto" w:fill="auto"/>
          </w:tcPr>
          <w:p w14:paraId="0D641E53" w14:textId="77777777" w:rsidR="00B454F4" w:rsidRDefault="00B454F4">
            <w:r w:rsidRPr="00C50288">
              <w:t>Assessment</w:t>
            </w:r>
          </w:p>
        </w:tc>
        <w:tc>
          <w:tcPr>
            <w:tcW w:w="4092" w:type="dxa"/>
            <w:shd w:val="clear" w:color="auto" w:fill="auto"/>
          </w:tcPr>
          <w:p w14:paraId="54EC0368" w14:textId="77777777" w:rsidR="00B454F4" w:rsidRDefault="00B454F4" w:rsidP="00D61BD2">
            <w:r w:rsidRPr="00B454F4">
              <w:t>Schaefer</w:t>
            </w:r>
          </w:p>
        </w:tc>
      </w:tr>
      <w:tr w:rsidR="00B454F4" w14:paraId="2A361C8E" w14:textId="77777777" w:rsidTr="006A4469">
        <w:tc>
          <w:tcPr>
            <w:tcW w:w="904" w:type="dxa"/>
            <w:shd w:val="clear" w:color="auto" w:fill="auto"/>
          </w:tcPr>
          <w:p w14:paraId="598EA45C" w14:textId="77777777" w:rsidR="00B454F4" w:rsidRPr="009703BF" w:rsidRDefault="00B454F4">
            <w:pPr>
              <w:rPr>
                <w:b/>
              </w:rPr>
            </w:pPr>
            <w:r w:rsidRPr="009703BF">
              <w:rPr>
                <w:b/>
              </w:rPr>
              <w:t>9</w:t>
            </w:r>
          </w:p>
        </w:tc>
        <w:tc>
          <w:tcPr>
            <w:tcW w:w="1381" w:type="dxa"/>
            <w:shd w:val="clear" w:color="auto" w:fill="auto"/>
          </w:tcPr>
          <w:p w14:paraId="50443310" w14:textId="77777777" w:rsidR="00B454F4" w:rsidRDefault="00B454F4">
            <w:r>
              <w:t>Estimated</w:t>
            </w:r>
          </w:p>
        </w:tc>
        <w:tc>
          <w:tcPr>
            <w:tcW w:w="1381" w:type="dxa"/>
            <w:shd w:val="clear" w:color="auto" w:fill="auto"/>
          </w:tcPr>
          <w:p w14:paraId="6367DE41" w14:textId="77777777" w:rsidR="00B454F4" w:rsidRDefault="00B454F4">
            <w:r w:rsidRPr="00C50288">
              <w:t>Assessment</w:t>
            </w:r>
          </w:p>
        </w:tc>
        <w:tc>
          <w:tcPr>
            <w:tcW w:w="4092" w:type="dxa"/>
            <w:shd w:val="clear" w:color="auto" w:fill="auto"/>
          </w:tcPr>
          <w:p w14:paraId="22C63D9B" w14:textId="77777777" w:rsidR="00B454F4" w:rsidRDefault="00B454F4" w:rsidP="00D61BD2">
            <w:r>
              <w:t>Fox</w:t>
            </w:r>
          </w:p>
        </w:tc>
      </w:tr>
      <w:tr w:rsidR="00B454F4" w14:paraId="5317A82A" w14:textId="77777777" w:rsidTr="006A4469">
        <w:tc>
          <w:tcPr>
            <w:tcW w:w="904" w:type="dxa"/>
            <w:shd w:val="clear" w:color="auto" w:fill="auto"/>
          </w:tcPr>
          <w:p w14:paraId="78F244BB" w14:textId="77777777" w:rsidR="00B454F4" w:rsidRPr="009703BF" w:rsidRDefault="00B454F4">
            <w:pPr>
              <w:rPr>
                <w:b/>
              </w:rPr>
            </w:pPr>
            <w:r w:rsidRPr="009703BF">
              <w:rPr>
                <w:b/>
              </w:rPr>
              <w:t>10</w:t>
            </w:r>
          </w:p>
        </w:tc>
        <w:tc>
          <w:tcPr>
            <w:tcW w:w="1381" w:type="dxa"/>
            <w:shd w:val="clear" w:color="auto" w:fill="auto"/>
          </w:tcPr>
          <w:p w14:paraId="0143AF47" w14:textId="77777777" w:rsidR="00B454F4" w:rsidRDefault="00B454F4">
            <w:r>
              <w:t>Estimated</w:t>
            </w:r>
          </w:p>
        </w:tc>
        <w:tc>
          <w:tcPr>
            <w:tcW w:w="1381" w:type="dxa"/>
            <w:shd w:val="clear" w:color="auto" w:fill="auto"/>
          </w:tcPr>
          <w:p w14:paraId="1CA7D54B" w14:textId="77777777" w:rsidR="00B454F4" w:rsidRDefault="00B454F4">
            <w:r w:rsidRPr="00C50288">
              <w:t>Assessment</w:t>
            </w:r>
          </w:p>
        </w:tc>
        <w:tc>
          <w:tcPr>
            <w:tcW w:w="4092" w:type="dxa"/>
            <w:shd w:val="clear" w:color="auto" w:fill="auto"/>
          </w:tcPr>
          <w:p w14:paraId="6DAE4EF3" w14:textId="77777777" w:rsidR="00B454F4" w:rsidRDefault="00C233F3" w:rsidP="00D61BD2">
            <w:r w:rsidRPr="00C233F3">
              <w:t>Thorson pooled</w:t>
            </w:r>
          </w:p>
        </w:tc>
      </w:tr>
      <w:tr w:rsidR="00B454F4" w14:paraId="0E9EEECB" w14:textId="77777777" w:rsidTr="006A4469">
        <w:tc>
          <w:tcPr>
            <w:tcW w:w="904" w:type="dxa"/>
            <w:shd w:val="clear" w:color="auto" w:fill="auto"/>
          </w:tcPr>
          <w:p w14:paraId="4D9B3A6F" w14:textId="77777777" w:rsidR="00B454F4" w:rsidRPr="009703BF" w:rsidRDefault="00B454F4">
            <w:pPr>
              <w:rPr>
                <w:b/>
              </w:rPr>
            </w:pPr>
            <w:r w:rsidRPr="009703BF">
              <w:rPr>
                <w:b/>
              </w:rPr>
              <w:t>11</w:t>
            </w:r>
          </w:p>
        </w:tc>
        <w:tc>
          <w:tcPr>
            <w:tcW w:w="1381" w:type="dxa"/>
            <w:shd w:val="clear" w:color="auto" w:fill="auto"/>
          </w:tcPr>
          <w:p w14:paraId="571D92BC" w14:textId="77777777" w:rsidR="00B454F4" w:rsidRDefault="00B454F4">
            <w:r>
              <w:t>Estimated</w:t>
            </w:r>
          </w:p>
        </w:tc>
        <w:tc>
          <w:tcPr>
            <w:tcW w:w="1381" w:type="dxa"/>
            <w:shd w:val="clear" w:color="auto" w:fill="auto"/>
          </w:tcPr>
          <w:p w14:paraId="24930B0B" w14:textId="77777777" w:rsidR="00B454F4" w:rsidRDefault="00B454F4">
            <w:r w:rsidRPr="00C50288">
              <w:t>Assessment</w:t>
            </w:r>
          </w:p>
        </w:tc>
        <w:tc>
          <w:tcPr>
            <w:tcW w:w="4092" w:type="dxa"/>
            <w:shd w:val="clear" w:color="auto" w:fill="auto"/>
          </w:tcPr>
          <w:p w14:paraId="381B692F" w14:textId="77777777" w:rsidR="00B454F4" w:rsidRDefault="00C233F3">
            <w:r w:rsidRPr="00C233F3">
              <w:t>Thorson taxonomic</w:t>
            </w:r>
          </w:p>
        </w:tc>
      </w:tr>
      <w:tr w:rsidR="00B454F4" w14:paraId="7BC3D6CD" w14:textId="77777777" w:rsidTr="006A4469">
        <w:tc>
          <w:tcPr>
            <w:tcW w:w="904" w:type="dxa"/>
            <w:shd w:val="clear" w:color="auto" w:fill="auto"/>
          </w:tcPr>
          <w:p w14:paraId="023B9680" w14:textId="77777777" w:rsidR="00B454F4" w:rsidRPr="009703BF" w:rsidRDefault="00B454F4">
            <w:pPr>
              <w:rPr>
                <w:b/>
              </w:rPr>
            </w:pPr>
            <w:r w:rsidRPr="009703BF">
              <w:rPr>
                <w:b/>
              </w:rPr>
              <w:t>12</w:t>
            </w:r>
          </w:p>
        </w:tc>
        <w:tc>
          <w:tcPr>
            <w:tcW w:w="1381" w:type="dxa"/>
            <w:shd w:val="clear" w:color="auto" w:fill="auto"/>
          </w:tcPr>
          <w:p w14:paraId="43095B2E" w14:textId="77777777" w:rsidR="00B454F4" w:rsidRDefault="00B454F4">
            <w:r>
              <w:t>Estimated</w:t>
            </w:r>
          </w:p>
        </w:tc>
        <w:tc>
          <w:tcPr>
            <w:tcW w:w="1381" w:type="dxa"/>
            <w:shd w:val="clear" w:color="auto" w:fill="auto"/>
          </w:tcPr>
          <w:p w14:paraId="58FBD3C5" w14:textId="77777777" w:rsidR="00B454F4" w:rsidRDefault="00B454F4">
            <w:r w:rsidRPr="00C50288">
              <w:t>Assessment</w:t>
            </w:r>
          </w:p>
        </w:tc>
        <w:tc>
          <w:tcPr>
            <w:tcW w:w="4092" w:type="dxa"/>
            <w:shd w:val="clear" w:color="auto" w:fill="auto"/>
          </w:tcPr>
          <w:p w14:paraId="4FF8182A" w14:textId="77777777" w:rsidR="00B454F4" w:rsidRDefault="00C233F3">
            <w:r>
              <w:t>Empirical-taxonomic</w:t>
            </w:r>
          </w:p>
        </w:tc>
      </w:tr>
      <w:tr w:rsidR="00B454F4" w14:paraId="2D16AD6A" w14:textId="77777777" w:rsidTr="006A4469">
        <w:tc>
          <w:tcPr>
            <w:tcW w:w="904" w:type="dxa"/>
            <w:shd w:val="clear" w:color="auto" w:fill="auto"/>
          </w:tcPr>
          <w:p w14:paraId="2314649F" w14:textId="77777777" w:rsidR="00B454F4" w:rsidRPr="009703BF" w:rsidRDefault="00B454F4">
            <w:pPr>
              <w:rPr>
                <w:b/>
              </w:rPr>
            </w:pPr>
            <w:r w:rsidRPr="009703BF">
              <w:rPr>
                <w:b/>
              </w:rPr>
              <w:t>13</w:t>
            </w:r>
          </w:p>
        </w:tc>
        <w:tc>
          <w:tcPr>
            <w:tcW w:w="1381" w:type="dxa"/>
            <w:shd w:val="clear" w:color="auto" w:fill="auto"/>
          </w:tcPr>
          <w:p w14:paraId="6064DBD6" w14:textId="77777777" w:rsidR="00B454F4" w:rsidRDefault="00B454F4">
            <w:r w:rsidRPr="00C50288">
              <w:t>Assessment</w:t>
            </w:r>
          </w:p>
        </w:tc>
        <w:tc>
          <w:tcPr>
            <w:tcW w:w="1381" w:type="dxa"/>
            <w:shd w:val="clear" w:color="auto" w:fill="auto"/>
          </w:tcPr>
          <w:p w14:paraId="185283CD" w14:textId="77777777" w:rsidR="00B454F4" w:rsidRDefault="00B454F4">
            <w:r>
              <w:t>Estimated</w:t>
            </w:r>
          </w:p>
        </w:tc>
        <w:tc>
          <w:tcPr>
            <w:tcW w:w="4092" w:type="dxa"/>
            <w:shd w:val="clear" w:color="auto" w:fill="auto"/>
          </w:tcPr>
          <w:p w14:paraId="309707E5" w14:textId="77777777" w:rsidR="00B454F4" w:rsidRDefault="006A4469">
            <w:r>
              <w:t>Estimated (under penalty function)</w:t>
            </w:r>
          </w:p>
        </w:tc>
      </w:tr>
      <w:tr w:rsidR="00B454F4" w14:paraId="04932C0B" w14:textId="77777777" w:rsidTr="006A4469">
        <w:tc>
          <w:tcPr>
            <w:tcW w:w="904" w:type="dxa"/>
            <w:shd w:val="clear" w:color="auto" w:fill="auto"/>
          </w:tcPr>
          <w:p w14:paraId="5A079173" w14:textId="77777777" w:rsidR="00B454F4" w:rsidRPr="009703BF" w:rsidRDefault="00B454F4">
            <w:pPr>
              <w:rPr>
                <w:b/>
              </w:rPr>
            </w:pPr>
            <w:r w:rsidRPr="009703BF">
              <w:rPr>
                <w:b/>
              </w:rPr>
              <w:t>14</w:t>
            </w:r>
          </w:p>
        </w:tc>
        <w:tc>
          <w:tcPr>
            <w:tcW w:w="1381" w:type="dxa"/>
            <w:shd w:val="clear" w:color="auto" w:fill="auto"/>
          </w:tcPr>
          <w:p w14:paraId="6F63CFBA" w14:textId="77777777" w:rsidR="00B454F4" w:rsidRDefault="00B454F4">
            <w:r w:rsidRPr="00C50288">
              <w:t>Assessment</w:t>
            </w:r>
          </w:p>
        </w:tc>
        <w:tc>
          <w:tcPr>
            <w:tcW w:w="1381" w:type="dxa"/>
            <w:shd w:val="clear" w:color="auto" w:fill="auto"/>
          </w:tcPr>
          <w:p w14:paraId="63250270" w14:textId="77777777" w:rsidR="00B454F4" w:rsidRDefault="00B454F4">
            <w:r>
              <w:t>Estimated</w:t>
            </w:r>
          </w:p>
        </w:tc>
        <w:tc>
          <w:tcPr>
            <w:tcW w:w="4092" w:type="dxa"/>
            <w:shd w:val="clear" w:color="auto" w:fill="auto"/>
          </w:tcPr>
          <w:p w14:paraId="1DDB63DF" w14:textId="77777777" w:rsidR="00B454F4" w:rsidRDefault="00B454F4" w:rsidP="00D61BD2">
            <w:r w:rsidRPr="00B454F4">
              <w:t>Schaefer</w:t>
            </w:r>
          </w:p>
        </w:tc>
      </w:tr>
      <w:tr w:rsidR="00B454F4" w14:paraId="15815092" w14:textId="77777777" w:rsidTr="006A4469">
        <w:tc>
          <w:tcPr>
            <w:tcW w:w="904" w:type="dxa"/>
            <w:shd w:val="clear" w:color="auto" w:fill="auto"/>
          </w:tcPr>
          <w:p w14:paraId="1D0D6728" w14:textId="77777777" w:rsidR="00B454F4" w:rsidRPr="009703BF" w:rsidRDefault="00B454F4">
            <w:pPr>
              <w:rPr>
                <w:b/>
              </w:rPr>
            </w:pPr>
            <w:r w:rsidRPr="009703BF">
              <w:rPr>
                <w:b/>
              </w:rPr>
              <w:t>15</w:t>
            </w:r>
          </w:p>
        </w:tc>
        <w:tc>
          <w:tcPr>
            <w:tcW w:w="1381" w:type="dxa"/>
            <w:shd w:val="clear" w:color="auto" w:fill="auto"/>
          </w:tcPr>
          <w:p w14:paraId="263B361C" w14:textId="77777777" w:rsidR="00B454F4" w:rsidRDefault="00B454F4">
            <w:r w:rsidRPr="00C50288">
              <w:t>Assessment</w:t>
            </w:r>
          </w:p>
        </w:tc>
        <w:tc>
          <w:tcPr>
            <w:tcW w:w="1381" w:type="dxa"/>
            <w:shd w:val="clear" w:color="auto" w:fill="auto"/>
          </w:tcPr>
          <w:p w14:paraId="48979C13" w14:textId="77777777" w:rsidR="00B454F4" w:rsidRDefault="00B454F4">
            <w:r>
              <w:t>Estimated</w:t>
            </w:r>
          </w:p>
        </w:tc>
        <w:tc>
          <w:tcPr>
            <w:tcW w:w="4092" w:type="dxa"/>
            <w:shd w:val="clear" w:color="auto" w:fill="auto"/>
          </w:tcPr>
          <w:p w14:paraId="7B4B5ED0" w14:textId="77777777" w:rsidR="00B454F4" w:rsidRDefault="00B454F4" w:rsidP="00D61BD2">
            <w:r>
              <w:t>Fox</w:t>
            </w:r>
          </w:p>
        </w:tc>
      </w:tr>
      <w:tr w:rsidR="00B454F4" w14:paraId="15954054" w14:textId="77777777" w:rsidTr="006A4469">
        <w:tc>
          <w:tcPr>
            <w:tcW w:w="904" w:type="dxa"/>
            <w:shd w:val="clear" w:color="auto" w:fill="auto"/>
          </w:tcPr>
          <w:p w14:paraId="1CFCA006" w14:textId="77777777" w:rsidR="00B454F4" w:rsidRPr="009703BF" w:rsidRDefault="00B454F4">
            <w:pPr>
              <w:rPr>
                <w:b/>
              </w:rPr>
            </w:pPr>
            <w:r w:rsidRPr="009703BF">
              <w:rPr>
                <w:b/>
              </w:rPr>
              <w:t>16</w:t>
            </w:r>
          </w:p>
        </w:tc>
        <w:tc>
          <w:tcPr>
            <w:tcW w:w="1381" w:type="dxa"/>
            <w:shd w:val="clear" w:color="auto" w:fill="auto"/>
          </w:tcPr>
          <w:p w14:paraId="2293B563" w14:textId="77777777" w:rsidR="00B454F4" w:rsidRDefault="00B454F4">
            <w:r w:rsidRPr="00C50288">
              <w:t>Assessment</w:t>
            </w:r>
          </w:p>
        </w:tc>
        <w:tc>
          <w:tcPr>
            <w:tcW w:w="1381" w:type="dxa"/>
            <w:shd w:val="clear" w:color="auto" w:fill="auto"/>
          </w:tcPr>
          <w:p w14:paraId="17A25B14" w14:textId="77777777" w:rsidR="00B454F4" w:rsidRDefault="00B454F4">
            <w:r>
              <w:t>Estimated</w:t>
            </w:r>
          </w:p>
        </w:tc>
        <w:tc>
          <w:tcPr>
            <w:tcW w:w="4092" w:type="dxa"/>
            <w:shd w:val="clear" w:color="auto" w:fill="auto"/>
          </w:tcPr>
          <w:p w14:paraId="4A8CC603" w14:textId="77777777" w:rsidR="00B454F4" w:rsidRDefault="00C233F3" w:rsidP="00D61BD2">
            <w:r w:rsidRPr="00C233F3">
              <w:t>Thorson pooled</w:t>
            </w:r>
          </w:p>
        </w:tc>
      </w:tr>
      <w:tr w:rsidR="00B454F4" w14:paraId="48511CAE" w14:textId="77777777" w:rsidTr="006A4469">
        <w:tc>
          <w:tcPr>
            <w:tcW w:w="904" w:type="dxa"/>
            <w:shd w:val="clear" w:color="auto" w:fill="auto"/>
          </w:tcPr>
          <w:p w14:paraId="19D184D3" w14:textId="77777777" w:rsidR="00B454F4" w:rsidRPr="009703BF" w:rsidRDefault="00B454F4">
            <w:pPr>
              <w:rPr>
                <w:b/>
              </w:rPr>
            </w:pPr>
            <w:r w:rsidRPr="009703BF">
              <w:rPr>
                <w:b/>
              </w:rPr>
              <w:t>17</w:t>
            </w:r>
          </w:p>
        </w:tc>
        <w:tc>
          <w:tcPr>
            <w:tcW w:w="1381" w:type="dxa"/>
            <w:shd w:val="clear" w:color="auto" w:fill="auto"/>
          </w:tcPr>
          <w:p w14:paraId="15E14FDF" w14:textId="77777777" w:rsidR="00B454F4" w:rsidRDefault="00B454F4">
            <w:r w:rsidRPr="00C50288">
              <w:t>Assessment</w:t>
            </w:r>
          </w:p>
        </w:tc>
        <w:tc>
          <w:tcPr>
            <w:tcW w:w="1381" w:type="dxa"/>
            <w:shd w:val="clear" w:color="auto" w:fill="auto"/>
          </w:tcPr>
          <w:p w14:paraId="7FC1E0D8" w14:textId="77777777" w:rsidR="00B454F4" w:rsidRDefault="00B454F4">
            <w:r>
              <w:t>Estimated</w:t>
            </w:r>
          </w:p>
        </w:tc>
        <w:tc>
          <w:tcPr>
            <w:tcW w:w="4092" w:type="dxa"/>
            <w:shd w:val="clear" w:color="auto" w:fill="auto"/>
          </w:tcPr>
          <w:p w14:paraId="4BDBBF92" w14:textId="77777777" w:rsidR="00B454F4" w:rsidRDefault="00C233F3" w:rsidP="00D61BD2">
            <w:r w:rsidRPr="00C233F3">
              <w:t>Thorson taxonomic</w:t>
            </w:r>
          </w:p>
        </w:tc>
      </w:tr>
      <w:tr w:rsidR="00B454F4" w14:paraId="3A3615B2" w14:textId="77777777" w:rsidTr="006A4469">
        <w:tc>
          <w:tcPr>
            <w:tcW w:w="904" w:type="dxa"/>
            <w:shd w:val="clear" w:color="auto" w:fill="auto"/>
          </w:tcPr>
          <w:p w14:paraId="6AC6147A" w14:textId="77777777" w:rsidR="00B454F4" w:rsidRPr="009703BF" w:rsidRDefault="00B454F4">
            <w:pPr>
              <w:rPr>
                <w:b/>
              </w:rPr>
            </w:pPr>
            <w:r w:rsidRPr="009703BF">
              <w:rPr>
                <w:b/>
              </w:rPr>
              <w:t>18</w:t>
            </w:r>
          </w:p>
        </w:tc>
        <w:tc>
          <w:tcPr>
            <w:tcW w:w="1381" w:type="dxa"/>
            <w:shd w:val="clear" w:color="auto" w:fill="auto"/>
          </w:tcPr>
          <w:p w14:paraId="4C0C8148" w14:textId="77777777" w:rsidR="00B454F4" w:rsidRDefault="00B454F4">
            <w:r w:rsidRPr="00C50288">
              <w:t>Assessment</w:t>
            </w:r>
          </w:p>
        </w:tc>
        <w:tc>
          <w:tcPr>
            <w:tcW w:w="1381" w:type="dxa"/>
            <w:shd w:val="clear" w:color="auto" w:fill="auto"/>
          </w:tcPr>
          <w:p w14:paraId="16C895D4" w14:textId="77777777" w:rsidR="00B454F4" w:rsidRDefault="00B454F4">
            <w:r>
              <w:t>Estimated</w:t>
            </w:r>
          </w:p>
        </w:tc>
        <w:tc>
          <w:tcPr>
            <w:tcW w:w="4092" w:type="dxa"/>
            <w:shd w:val="clear" w:color="auto" w:fill="auto"/>
          </w:tcPr>
          <w:p w14:paraId="2828A45C" w14:textId="77777777" w:rsidR="00B454F4" w:rsidRDefault="00C233F3" w:rsidP="00D61BD2">
            <w:r>
              <w:t>Empirical-taxonomic</w:t>
            </w:r>
          </w:p>
        </w:tc>
      </w:tr>
      <w:tr w:rsidR="00B454F4" w14:paraId="71B73BF2" w14:textId="77777777" w:rsidTr="006A4469">
        <w:tc>
          <w:tcPr>
            <w:tcW w:w="904" w:type="dxa"/>
            <w:shd w:val="clear" w:color="auto" w:fill="auto"/>
          </w:tcPr>
          <w:p w14:paraId="47EB10F3" w14:textId="77777777" w:rsidR="00B454F4" w:rsidRPr="009703BF" w:rsidRDefault="00B454F4">
            <w:pPr>
              <w:rPr>
                <w:b/>
              </w:rPr>
            </w:pPr>
            <w:r w:rsidRPr="009703BF">
              <w:rPr>
                <w:b/>
              </w:rPr>
              <w:t>19</w:t>
            </w:r>
          </w:p>
        </w:tc>
        <w:tc>
          <w:tcPr>
            <w:tcW w:w="1381" w:type="dxa"/>
            <w:shd w:val="clear" w:color="auto" w:fill="auto"/>
          </w:tcPr>
          <w:p w14:paraId="1FF61877" w14:textId="77777777" w:rsidR="00B454F4" w:rsidRDefault="00B454F4">
            <w:r w:rsidRPr="00C50288">
              <w:t>Assessment</w:t>
            </w:r>
          </w:p>
        </w:tc>
        <w:tc>
          <w:tcPr>
            <w:tcW w:w="1381" w:type="dxa"/>
            <w:shd w:val="clear" w:color="auto" w:fill="auto"/>
          </w:tcPr>
          <w:p w14:paraId="3F154D12" w14:textId="77777777" w:rsidR="00B454F4" w:rsidRDefault="00B454F4">
            <w:r w:rsidRPr="00C50288">
              <w:t>Assessment</w:t>
            </w:r>
          </w:p>
        </w:tc>
        <w:tc>
          <w:tcPr>
            <w:tcW w:w="4092" w:type="dxa"/>
            <w:shd w:val="clear" w:color="auto" w:fill="auto"/>
          </w:tcPr>
          <w:p w14:paraId="2F3A7C17" w14:textId="77777777" w:rsidR="00B454F4" w:rsidRDefault="006A4469">
            <w:r>
              <w:t>Estimated (under penalty function)</w:t>
            </w:r>
          </w:p>
        </w:tc>
      </w:tr>
    </w:tbl>
    <w:p w14:paraId="1D839898" w14:textId="77777777" w:rsidR="00C074D2" w:rsidRDefault="00C074D2"/>
    <w:p w14:paraId="5C81C56D" w14:textId="77777777" w:rsidR="00C074D2" w:rsidRDefault="00C074D2"/>
    <w:p w14:paraId="797FC800" w14:textId="77777777" w:rsidR="00DA6BA1" w:rsidRDefault="00DA6BA1"/>
    <w:p w14:paraId="3628AD4C" w14:textId="77777777" w:rsidR="00C233F3" w:rsidRDefault="00C233F3"/>
    <w:p w14:paraId="518D1BD8" w14:textId="77777777" w:rsidR="00C233F3" w:rsidRDefault="00C233F3"/>
    <w:p w14:paraId="2D720224" w14:textId="77777777" w:rsidR="00C074D2" w:rsidRPr="00445594" w:rsidRDefault="00445594" w:rsidP="00445594">
      <w:pPr>
        <w:jc w:val="center"/>
        <w:rPr>
          <w:b/>
          <w:sz w:val="32"/>
          <w:szCs w:val="32"/>
        </w:rPr>
      </w:pPr>
      <w:r>
        <w:rPr>
          <w:b/>
          <w:sz w:val="32"/>
          <w:szCs w:val="32"/>
        </w:rPr>
        <w:t>Time Series Sources (Table 2)</w:t>
      </w:r>
    </w:p>
    <w:p w14:paraId="09C8DC4C" w14:textId="77777777" w:rsidR="00372924" w:rsidRDefault="004D5C41">
      <w:r>
        <w:t>This table displays the s</w:t>
      </w:r>
      <w:r w:rsidR="002C1F9A">
        <w:t xml:space="preserve">ources of time series used in the model fit. The </w:t>
      </w:r>
      <w:r>
        <w:t>ordering of the sources represents the data preference for that field.</w:t>
      </w:r>
    </w:p>
    <w:p w14:paraId="79B81271" w14:textId="77777777" w:rsidR="00DA6BA1" w:rsidRDefault="00DA6BA1"/>
    <w:tbl>
      <w:tblPr>
        <w:tblW w:w="6758" w:type="dxa"/>
        <w:tblInd w:w="118" w:type="dxa"/>
        <w:tblLook w:val="04A0" w:firstRow="1" w:lastRow="0" w:firstColumn="1" w:lastColumn="0" w:noHBand="0" w:noVBand="1"/>
      </w:tblPr>
      <w:tblGrid>
        <w:gridCol w:w="1871"/>
        <w:gridCol w:w="1608"/>
        <w:gridCol w:w="3279"/>
      </w:tblGrid>
      <w:tr w:rsidR="002A353C" w:rsidRPr="002A353C" w14:paraId="2D3EB41D" w14:textId="77777777" w:rsidTr="002A353C">
        <w:trPr>
          <w:trHeight w:val="569"/>
        </w:trPr>
        <w:tc>
          <w:tcPr>
            <w:tcW w:w="187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21C072" w14:textId="77777777" w:rsidR="002A353C" w:rsidRPr="002A353C" w:rsidRDefault="002A353C" w:rsidP="002A353C">
            <w:pPr>
              <w:spacing w:after="0" w:line="240" w:lineRule="auto"/>
              <w:rPr>
                <w:rFonts w:ascii="Calibri" w:eastAsia="Times New Roman" w:hAnsi="Calibri" w:cs="Calibri"/>
                <w:b/>
                <w:bCs/>
                <w:color w:val="000000"/>
              </w:rPr>
            </w:pPr>
            <w:r w:rsidRPr="002A353C">
              <w:rPr>
                <w:rFonts w:ascii="Calibri" w:eastAsia="Times New Roman" w:hAnsi="Calibri" w:cs="Calibri"/>
                <w:b/>
                <w:bCs/>
                <w:color w:val="000000"/>
              </w:rPr>
              <w:t>Time Series</w:t>
            </w:r>
          </w:p>
        </w:tc>
        <w:tc>
          <w:tcPr>
            <w:tcW w:w="1608" w:type="dxa"/>
            <w:tcBorders>
              <w:top w:val="single" w:sz="8" w:space="0" w:color="auto"/>
              <w:left w:val="nil"/>
              <w:bottom w:val="single" w:sz="8" w:space="0" w:color="auto"/>
              <w:right w:val="single" w:sz="8" w:space="0" w:color="auto"/>
            </w:tcBorders>
            <w:shd w:val="clear" w:color="auto" w:fill="auto"/>
            <w:vAlign w:val="center"/>
            <w:hideMark/>
          </w:tcPr>
          <w:p w14:paraId="5BE0CA87" w14:textId="77777777" w:rsidR="002A353C" w:rsidRPr="002A353C" w:rsidRDefault="002A353C" w:rsidP="002A353C">
            <w:pPr>
              <w:spacing w:after="0" w:line="240" w:lineRule="auto"/>
              <w:rPr>
                <w:rFonts w:ascii="Calibri" w:eastAsia="Times New Roman" w:hAnsi="Calibri" w:cs="Calibri"/>
                <w:b/>
                <w:bCs/>
                <w:color w:val="000000"/>
              </w:rPr>
            </w:pPr>
            <w:r w:rsidRPr="002A353C">
              <w:rPr>
                <w:rFonts w:ascii="Calibri" w:eastAsia="Times New Roman" w:hAnsi="Calibri" w:cs="Calibri"/>
                <w:b/>
                <w:bCs/>
                <w:color w:val="000000"/>
              </w:rPr>
              <w:t>Source 1</w:t>
            </w:r>
          </w:p>
        </w:tc>
        <w:tc>
          <w:tcPr>
            <w:tcW w:w="3279" w:type="dxa"/>
            <w:tcBorders>
              <w:top w:val="single" w:sz="8" w:space="0" w:color="auto"/>
              <w:left w:val="nil"/>
              <w:bottom w:val="single" w:sz="8" w:space="0" w:color="auto"/>
              <w:right w:val="single" w:sz="8" w:space="0" w:color="auto"/>
            </w:tcBorders>
            <w:shd w:val="clear" w:color="auto" w:fill="auto"/>
            <w:vAlign w:val="center"/>
            <w:hideMark/>
          </w:tcPr>
          <w:p w14:paraId="59C67336" w14:textId="77777777" w:rsidR="002A353C" w:rsidRPr="002A353C" w:rsidRDefault="002A353C" w:rsidP="002A353C">
            <w:pPr>
              <w:spacing w:after="0" w:line="240" w:lineRule="auto"/>
              <w:rPr>
                <w:rFonts w:ascii="Calibri" w:eastAsia="Times New Roman" w:hAnsi="Calibri" w:cs="Calibri"/>
                <w:b/>
                <w:bCs/>
                <w:color w:val="000000"/>
              </w:rPr>
            </w:pPr>
            <w:r w:rsidRPr="002A353C">
              <w:rPr>
                <w:rFonts w:ascii="Calibri" w:eastAsia="Times New Roman" w:hAnsi="Calibri" w:cs="Calibri"/>
                <w:b/>
                <w:bCs/>
                <w:color w:val="000000"/>
              </w:rPr>
              <w:t>Source 2</w:t>
            </w:r>
          </w:p>
        </w:tc>
      </w:tr>
      <w:tr w:rsidR="002A353C" w:rsidRPr="002A353C" w14:paraId="0D6F2DD2" w14:textId="77777777" w:rsidTr="002A353C">
        <w:trPr>
          <w:trHeight w:val="1078"/>
        </w:trPr>
        <w:tc>
          <w:tcPr>
            <w:tcW w:w="1871" w:type="dxa"/>
            <w:tcBorders>
              <w:top w:val="nil"/>
              <w:left w:val="single" w:sz="8" w:space="0" w:color="auto"/>
              <w:bottom w:val="single" w:sz="8" w:space="0" w:color="auto"/>
              <w:right w:val="single" w:sz="8" w:space="0" w:color="auto"/>
            </w:tcBorders>
            <w:shd w:val="clear" w:color="auto" w:fill="auto"/>
            <w:vAlign w:val="center"/>
            <w:hideMark/>
          </w:tcPr>
          <w:p w14:paraId="599079AD" w14:textId="77777777" w:rsidR="002A353C" w:rsidRPr="002A353C" w:rsidRDefault="002A353C" w:rsidP="002A353C">
            <w:pPr>
              <w:spacing w:after="0" w:line="240" w:lineRule="auto"/>
              <w:rPr>
                <w:rFonts w:ascii="Calibri" w:eastAsia="Times New Roman" w:hAnsi="Calibri" w:cs="Calibri"/>
                <w:b/>
                <w:bCs/>
                <w:color w:val="000000"/>
              </w:rPr>
            </w:pPr>
            <w:r w:rsidRPr="002A353C">
              <w:rPr>
                <w:rFonts w:ascii="Calibri" w:eastAsia="Times New Roman" w:hAnsi="Calibri" w:cs="Calibri"/>
                <w:b/>
                <w:bCs/>
                <w:color w:val="000000"/>
              </w:rPr>
              <w:t>Total Biomass</w:t>
            </w:r>
          </w:p>
        </w:tc>
        <w:tc>
          <w:tcPr>
            <w:tcW w:w="1608" w:type="dxa"/>
            <w:tcBorders>
              <w:top w:val="nil"/>
              <w:left w:val="nil"/>
              <w:bottom w:val="single" w:sz="8" w:space="0" w:color="auto"/>
              <w:right w:val="single" w:sz="8" w:space="0" w:color="auto"/>
            </w:tcBorders>
            <w:shd w:val="clear" w:color="auto" w:fill="auto"/>
            <w:vAlign w:val="center"/>
            <w:hideMark/>
          </w:tcPr>
          <w:p w14:paraId="1698C415" w14:textId="77777777" w:rsidR="002A353C" w:rsidRPr="002A353C" w:rsidRDefault="002A353C" w:rsidP="002A353C">
            <w:pPr>
              <w:spacing w:after="0" w:line="240" w:lineRule="auto"/>
              <w:rPr>
                <w:rFonts w:ascii="Calibri" w:eastAsia="Times New Roman" w:hAnsi="Calibri" w:cs="Calibri"/>
                <w:i/>
                <w:iCs/>
                <w:color w:val="000000"/>
              </w:rPr>
            </w:pPr>
            <w:r w:rsidRPr="002A353C">
              <w:rPr>
                <w:rFonts w:ascii="Calibri" w:eastAsia="Times New Roman" w:hAnsi="Calibri" w:cs="Calibri"/>
                <w:i/>
                <w:iCs/>
                <w:color w:val="000000"/>
              </w:rPr>
              <w:t>TB</w:t>
            </w:r>
          </w:p>
        </w:tc>
        <w:tc>
          <w:tcPr>
            <w:tcW w:w="3279" w:type="dxa"/>
            <w:tcBorders>
              <w:top w:val="nil"/>
              <w:left w:val="nil"/>
              <w:bottom w:val="single" w:sz="8" w:space="0" w:color="auto"/>
              <w:right w:val="single" w:sz="8" w:space="0" w:color="auto"/>
            </w:tcBorders>
            <w:shd w:val="clear" w:color="auto" w:fill="auto"/>
            <w:vAlign w:val="center"/>
            <w:hideMark/>
          </w:tcPr>
          <w:p w14:paraId="7DA7121F" w14:textId="77777777" w:rsidR="002A353C" w:rsidRPr="002A353C" w:rsidRDefault="002A353C" w:rsidP="002A353C">
            <w:pPr>
              <w:spacing w:after="0" w:line="240" w:lineRule="auto"/>
              <w:rPr>
                <w:rFonts w:ascii="Calibri" w:eastAsia="Times New Roman" w:hAnsi="Calibri" w:cs="Calibri"/>
                <w:i/>
                <w:iCs/>
                <w:color w:val="000000"/>
              </w:rPr>
            </w:pPr>
            <w:r w:rsidRPr="002A353C">
              <w:rPr>
                <w:rFonts w:ascii="Calibri" w:eastAsia="Times New Roman" w:hAnsi="Calibri" w:cs="Calibri"/>
                <w:i/>
                <w:iCs/>
                <w:color w:val="000000"/>
              </w:rPr>
              <w:t>TB</w:t>
            </w:r>
            <w:r w:rsidRPr="002A353C">
              <w:rPr>
                <w:rFonts w:ascii="Calibri" w:eastAsia="Times New Roman" w:hAnsi="Calibri" w:cs="Calibri"/>
                <w:color w:val="000000"/>
              </w:rPr>
              <w:t xml:space="preserve"> converted from </w:t>
            </w:r>
            <w:r w:rsidRPr="002A353C">
              <w:rPr>
                <w:rFonts w:ascii="Calibri" w:eastAsia="Times New Roman" w:hAnsi="Calibri" w:cs="Calibri"/>
                <w:i/>
                <w:iCs/>
                <w:color w:val="000000"/>
              </w:rPr>
              <w:t>SSB</w:t>
            </w:r>
            <w:r w:rsidRPr="002A353C">
              <w:rPr>
                <w:rFonts w:ascii="Calibri" w:eastAsia="Times New Roman" w:hAnsi="Calibri" w:cs="Calibri"/>
                <w:color w:val="000000"/>
              </w:rPr>
              <w:t xml:space="preserve"> (see “RAM B-Conversion Guide___.docx”)</w:t>
            </w:r>
          </w:p>
        </w:tc>
      </w:tr>
      <w:tr w:rsidR="002A353C" w:rsidRPr="002A353C" w14:paraId="180CBDF0" w14:textId="77777777" w:rsidTr="002A353C">
        <w:trPr>
          <w:trHeight w:val="290"/>
        </w:trPr>
        <w:tc>
          <w:tcPr>
            <w:tcW w:w="1871" w:type="dxa"/>
            <w:tcBorders>
              <w:top w:val="nil"/>
              <w:left w:val="single" w:sz="8" w:space="0" w:color="auto"/>
              <w:bottom w:val="single" w:sz="8" w:space="0" w:color="auto"/>
              <w:right w:val="single" w:sz="8" w:space="0" w:color="auto"/>
            </w:tcBorders>
            <w:shd w:val="clear" w:color="auto" w:fill="auto"/>
            <w:vAlign w:val="center"/>
            <w:hideMark/>
          </w:tcPr>
          <w:p w14:paraId="7D3D7CD2" w14:textId="77777777" w:rsidR="002A353C" w:rsidRPr="002A353C" w:rsidRDefault="002A353C" w:rsidP="002A353C">
            <w:pPr>
              <w:spacing w:after="0" w:line="240" w:lineRule="auto"/>
              <w:rPr>
                <w:rFonts w:ascii="Calibri" w:eastAsia="Times New Roman" w:hAnsi="Calibri" w:cs="Calibri"/>
                <w:b/>
                <w:bCs/>
                <w:color w:val="000000"/>
              </w:rPr>
            </w:pPr>
            <w:r w:rsidRPr="002A353C">
              <w:rPr>
                <w:rFonts w:ascii="Calibri" w:eastAsia="Times New Roman" w:hAnsi="Calibri" w:cs="Calibri"/>
                <w:b/>
                <w:bCs/>
                <w:color w:val="000000"/>
              </w:rPr>
              <w:t>Catch</w:t>
            </w:r>
          </w:p>
        </w:tc>
        <w:tc>
          <w:tcPr>
            <w:tcW w:w="1608" w:type="dxa"/>
            <w:tcBorders>
              <w:top w:val="nil"/>
              <w:left w:val="nil"/>
              <w:bottom w:val="single" w:sz="8" w:space="0" w:color="auto"/>
              <w:right w:val="single" w:sz="8" w:space="0" w:color="auto"/>
            </w:tcBorders>
            <w:shd w:val="clear" w:color="auto" w:fill="auto"/>
            <w:vAlign w:val="center"/>
            <w:hideMark/>
          </w:tcPr>
          <w:p w14:paraId="3AEA7296" w14:textId="77777777" w:rsidR="002A353C" w:rsidRPr="002A353C" w:rsidRDefault="002A353C" w:rsidP="002A353C">
            <w:pPr>
              <w:spacing w:after="0" w:line="240" w:lineRule="auto"/>
              <w:rPr>
                <w:rFonts w:ascii="Calibri" w:eastAsia="Times New Roman" w:hAnsi="Calibri" w:cs="Calibri"/>
                <w:i/>
                <w:iCs/>
                <w:color w:val="000000"/>
              </w:rPr>
            </w:pPr>
            <w:r w:rsidRPr="002A353C">
              <w:rPr>
                <w:rFonts w:ascii="Calibri" w:eastAsia="Times New Roman" w:hAnsi="Calibri" w:cs="Calibri"/>
                <w:i/>
                <w:iCs/>
                <w:color w:val="000000"/>
              </w:rPr>
              <w:t>TC</w:t>
            </w:r>
          </w:p>
        </w:tc>
        <w:tc>
          <w:tcPr>
            <w:tcW w:w="3279" w:type="dxa"/>
            <w:tcBorders>
              <w:top w:val="nil"/>
              <w:left w:val="nil"/>
              <w:bottom w:val="single" w:sz="8" w:space="0" w:color="auto"/>
              <w:right w:val="single" w:sz="8" w:space="0" w:color="auto"/>
            </w:tcBorders>
            <w:shd w:val="clear" w:color="auto" w:fill="auto"/>
            <w:vAlign w:val="center"/>
            <w:hideMark/>
          </w:tcPr>
          <w:p w14:paraId="4F3AA65B" w14:textId="77777777" w:rsidR="002A353C" w:rsidRPr="002A353C" w:rsidRDefault="002A353C" w:rsidP="002A353C">
            <w:pPr>
              <w:spacing w:after="0" w:line="240" w:lineRule="auto"/>
              <w:rPr>
                <w:rFonts w:ascii="Calibri" w:eastAsia="Times New Roman" w:hAnsi="Calibri" w:cs="Calibri"/>
                <w:i/>
                <w:iCs/>
                <w:color w:val="000000"/>
              </w:rPr>
            </w:pPr>
            <w:r w:rsidRPr="002A353C">
              <w:rPr>
                <w:rFonts w:ascii="Calibri" w:eastAsia="Times New Roman" w:hAnsi="Calibri" w:cs="Calibri"/>
                <w:i/>
                <w:iCs/>
                <w:color w:val="000000"/>
              </w:rPr>
              <w:t>TL</w:t>
            </w:r>
            <w:r w:rsidRPr="002A353C">
              <w:rPr>
                <w:rFonts w:ascii="Calibri" w:eastAsia="Times New Roman" w:hAnsi="Calibri" w:cs="Calibri"/>
                <w:color w:val="000000"/>
                <w:sz w:val="16"/>
                <w:szCs w:val="16"/>
              </w:rPr>
              <w:t> </w:t>
            </w:r>
          </w:p>
        </w:tc>
      </w:tr>
    </w:tbl>
    <w:p w14:paraId="5567184E" w14:textId="77777777" w:rsidR="00C074D2" w:rsidRDefault="00C074D2"/>
    <w:p w14:paraId="2A4BC836" w14:textId="77777777" w:rsidR="004D5C41" w:rsidRDefault="004D5C41" w:rsidP="00445594">
      <w:pPr>
        <w:jc w:val="center"/>
        <w:rPr>
          <w:b/>
          <w:sz w:val="32"/>
          <w:szCs w:val="32"/>
        </w:rPr>
      </w:pPr>
    </w:p>
    <w:p w14:paraId="384C85AD" w14:textId="77777777" w:rsidR="00445594" w:rsidRPr="00445594" w:rsidRDefault="00445594" w:rsidP="00445594">
      <w:pPr>
        <w:jc w:val="center"/>
        <w:rPr>
          <w:b/>
          <w:sz w:val="32"/>
          <w:szCs w:val="32"/>
        </w:rPr>
      </w:pPr>
      <w:r>
        <w:rPr>
          <w:b/>
          <w:sz w:val="32"/>
          <w:szCs w:val="32"/>
        </w:rPr>
        <w:t>Reference Point Sources (Table 3)</w:t>
      </w:r>
    </w:p>
    <w:p w14:paraId="6AB11151" w14:textId="17A703B9" w:rsidR="00372924" w:rsidRDefault="004D5C41">
      <w:r>
        <w:t>This table displays the sources of reference points used in the model fit. The ordering of the sources represents the data preference for that field.</w:t>
      </w:r>
      <w:r w:rsidR="00B2273E">
        <w:t xml:space="preserve"> See “Supplemental Data Info___.xlsx” for further descriptions of these sources</w:t>
      </w:r>
      <w:r w:rsidR="005A3058">
        <w:t xml:space="preserve"> and methods</w:t>
      </w:r>
      <w:r w:rsidR="00B2273E">
        <w:t>.</w:t>
      </w:r>
    </w:p>
    <w:tbl>
      <w:tblPr>
        <w:tblW w:w="9260" w:type="dxa"/>
        <w:tblInd w:w="118" w:type="dxa"/>
        <w:tblLook w:val="04A0" w:firstRow="1" w:lastRow="0" w:firstColumn="1" w:lastColumn="0" w:noHBand="0" w:noVBand="1"/>
      </w:tblPr>
      <w:tblGrid>
        <w:gridCol w:w="1141"/>
        <w:gridCol w:w="1597"/>
        <w:gridCol w:w="1637"/>
        <w:gridCol w:w="2268"/>
        <w:gridCol w:w="2617"/>
      </w:tblGrid>
      <w:tr w:rsidR="00EB5788" w:rsidRPr="00EB5788" w14:paraId="7F550081" w14:textId="77777777" w:rsidTr="00EB5788">
        <w:trPr>
          <w:trHeight w:val="588"/>
        </w:trPr>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C233DA1"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Reference Point</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0EFFFC98"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1</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14:paraId="0D8A020D"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2</w:t>
            </w:r>
          </w:p>
        </w:tc>
        <w:tc>
          <w:tcPr>
            <w:tcW w:w="2300" w:type="dxa"/>
            <w:tcBorders>
              <w:top w:val="single" w:sz="8" w:space="0" w:color="auto"/>
              <w:left w:val="nil"/>
              <w:bottom w:val="single" w:sz="8" w:space="0" w:color="auto"/>
              <w:right w:val="single" w:sz="8" w:space="0" w:color="auto"/>
            </w:tcBorders>
            <w:shd w:val="clear" w:color="auto" w:fill="auto"/>
            <w:vAlign w:val="center"/>
            <w:hideMark/>
          </w:tcPr>
          <w:p w14:paraId="027D745C"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3</w:t>
            </w:r>
          </w:p>
        </w:tc>
        <w:tc>
          <w:tcPr>
            <w:tcW w:w="2660" w:type="dxa"/>
            <w:tcBorders>
              <w:top w:val="single" w:sz="8" w:space="0" w:color="auto"/>
              <w:left w:val="nil"/>
              <w:bottom w:val="single" w:sz="8" w:space="0" w:color="auto"/>
              <w:right w:val="single" w:sz="8" w:space="0" w:color="auto"/>
            </w:tcBorders>
            <w:shd w:val="clear" w:color="auto" w:fill="auto"/>
            <w:vAlign w:val="center"/>
            <w:hideMark/>
          </w:tcPr>
          <w:p w14:paraId="21E5936A"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4</w:t>
            </w:r>
          </w:p>
        </w:tc>
      </w:tr>
      <w:tr w:rsidR="00EB5788" w:rsidRPr="00EB5788" w14:paraId="449CBA7C" w14:textId="77777777" w:rsidTr="00EB5788">
        <w:trPr>
          <w:trHeight w:val="636"/>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7B015224" w14:textId="77777777" w:rsidR="00EB5788" w:rsidRPr="00EB5788" w:rsidRDefault="00EB5788" w:rsidP="00EB5788">
            <w:pPr>
              <w:spacing w:after="0" w:line="240" w:lineRule="auto"/>
              <w:rPr>
                <w:rFonts w:ascii="Calibri" w:eastAsia="Times New Roman" w:hAnsi="Calibri" w:cs="Calibri"/>
                <w:b/>
                <w:bCs/>
                <w:i/>
                <w:iCs/>
                <w:color w:val="000000"/>
              </w:rPr>
            </w:pPr>
            <w:r w:rsidRPr="00EB5788">
              <w:rPr>
                <w:rFonts w:ascii="Calibri" w:eastAsia="Times New Roman" w:hAnsi="Calibri" w:cs="Calibri"/>
                <w:b/>
                <w:bCs/>
                <w:i/>
                <w:iCs/>
                <w:color w:val="000000"/>
              </w:rPr>
              <w:t>TB</w:t>
            </w:r>
            <w:r w:rsidRPr="00EB5788">
              <w:rPr>
                <w:rFonts w:ascii="Calibri" w:eastAsia="Times New Roman" w:hAnsi="Calibri" w:cs="Calibri"/>
                <w:b/>
                <w:bCs/>
                <w:i/>
                <w:iCs/>
                <w:color w:val="000000"/>
                <w:vertAlign w:val="subscript"/>
              </w:rPr>
              <w:t>MSY</w:t>
            </w:r>
          </w:p>
        </w:tc>
        <w:tc>
          <w:tcPr>
            <w:tcW w:w="1620" w:type="dxa"/>
            <w:tcBorders>
              <w:top w:val="nil"/>
              <w:left w:val="nil"/>
              <w:bottom w:val="single" w:sz="8" w:space="0" w:color="auto"/>
              <w:right w:val="single" w:sz="8" w:space="0" w:color="auto"/>
            </w:tcBorders>
            <w:shd w:val="clear" w:color="auto" w:fill="auto"/>
            <w:vAlign w:val="center"/>
            <w:hideMark/>
          </w:tcPr>
          <w:p w14:paraId="7CB923E3"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p>
        </w:tc>
        <w:tc>
          <w:tcPr>
            <w:tcW w:w="1660" w:type="dxa"/>
            <w:tcBorders>
              <w:top w:val="nil"/>
              <w:left w:val="nil"/>
              <w:bottom w:val="single" w:sz="8" w:space="0" w:color="auto"/>
              <w:right w:val="single" w:sz="8" w:space="0" w:color="auto"/>
            </w:tcBorders>
            <w:shd w:val="clear" w:color="auto" w:fill="auto"/>
            <w:vAlign w:val="center"/>
            <w:hideMark/>
          </w:tcPr>
          <w:p w14:paraId="65A2C28F"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proxy</w:t>
            </w:r>
          </w:p>
        </w:tc>
        <w:tc>
          <w:tcPr>
            <w:tcW w:w="2300" w:type="dxa"/>
            <w:tcBorders>
              <w:top w:val="nil"/>
              <w:left w:val="nil"/>
              <w:bottom w:val="single" w:sz="8" w:space="0" w:color="auto"/>
              <w:right w:val="single" w:sz="8" w:space="0" w:color="auto"/>
            </w:tcBorders>
            <w:shd w:val="clear" w:color="auto" w:fill="auto"/>
            <w:vAlign w:val="center"/>
            <w:hideMark/>
          </w:tcPr>
          <w:p w14:paraId="300ED4F9"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calculated from </w:t>
            </w:r>
            <w:r w:rsidRPr="00EB5788">
              <w:rPr>
                <w:rFonts w:ascii="Calibri" w:eastAsia="Times New Roman" w:hAnsi="Calibri" w:cs="Calibri"/>
                <w:i/>
                <w:iCs/>
                <w:color w:val="000000"/>
              </w:rPr>
              <w:t>TB</w:t>
            </w:r>
            <w:r w:rsidRPr="00EB5788">
              <w:rPr>
                <w:rFonts w:ascii="Calibri" w:eastAsia="Times New Roman" w:hAnsi="Calibri" w:cs="Calibri"/>
                <w:color w:val="000000"/>
              </w:rPr>
              <w:t>/</w:t>
            </w: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p>
        </w:tc>
        <w:tc>
          <w:tcPr>
            <w:tcW w:w="2660" w:type="dxa"/>
            <w:tcBorders>
              <w:top w:val="nil"/>
              <w:left w:val="nil"/>
              <w:bottom w:val="single" w:sz="8" w:space="0" w:color="auto"/>
              <w:right w:val="single" w:sz="8" w:space="0" w:color="auto"/>
            </w:tcBorders>
            <w:shd w:val="clear" w:color="auto" w:fill="auto"/>
            <w:vAlign w:val="center"/>
            <w:hideMark/>
          </w:tcPr>
          <w:p w14:paraId="440D12F3"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calculated from </w:t>
            </w:r>
            <w:r w:rsidRPr="00EB5788">
              <w:rPr>
                <w:rFonts w:ascii="Calibri" w:eastAsia="Times New Roman" w:hAnsi="Calibri" w:cs="Calibri"/>
                <w:i/>
                <w:iCs/>
                <w:color w:val="000000"/>
              </w:rPr>
              <w:t>MSY</w:t>
            </w:r>
            <w:r w:rsidRPr="00EB5788">
              <w:rPr>
                <w:rFonts w:ascii="Calibri" w:eastAsia="Times New Roman" w:hAnsi="Calibri" w:cs="Calibri"/>
                <w:color w:val="000000"/>
              </w:rPr>
              <w:t xml:space="preserve"> and </w:t>
            </w:r>
            <w:r w:rsidRPr="00EB5788">
              <w:rPr>
                <w:rFonts w:ascii="Calibri" w:eastAsia="Times New Roman" w:hAnsi="Calibri" w:cs="Calibri"/>
                <w:i/>
                <w:iCs/>
                <w:color w:val="000000"/>
              </w:rPr>
              <w:t>ER</w:t>
            </w:r>
            <w:r w:rsidRPr="00EB5788">
              <w:rPr>
                <w:rFonts w:ascii="Calibri" w:eastAsia="Times New Roman" w:hAnsi="Calibri" w:cs="Calibri"/>
                <w:i/>
                <w:iCs/>
                <w:color w:val="000000"/>
                <w:vertAlign w:val="subscript"/>
              </w:rPr>
              <w:t>MSY</w:t>
            </w:r>
          </w:p>
        </w:tc>
      </w:tr>
      <w:tr w:rsidR="00EB5788" w:rsidRPr="00EB5788" w14:paraId="2981B47E" w14:textId="77777777" w:rsidTr="00EB5788">
        <w:trPr>
          <w:trHeight w:val="324"/>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4BAB0874" w14:textId="77777777" w:rsidR="00EB5788" w:rsidRPr="00EB5788" w:rsidRDefault="00EB5788" w:rsidP="00EB5788">
            <w:pPr>
              <w:spacing w:after="0" w:line="240" w:lineRule="auto"/>
              <w:rPr>
                <w:rFonts w:ascii="Calibri" w:eastAsia="Times New Roman" w:hAnsi="Calibri" w:cs="Calibri"/>
                <w:b/>
                <w:bCs/>
                <w:i/>
                <w:iCs/>
                <w:color w:val="000000"/>
              </w:rPr>
            </w:pPr>
            <w:r w:rsidRPr="00EB5788">
              <w:rPr>
                <w:rFonts w:ascii="Calibri" w:eastAsia="Times New Roman" w:hAnsi="Calibri" w:cs="Calibri"/>
                <w:b/>
                <w:bCs/>
                <w:i/>
                <w:iCs/>
                <w:color w:val="000000"/>
              </w:rPr>
              <w:t>ER</w:t>
            </w:r>
            <w:r w:rsidRPr="00EB5788">
              <w:rPr>
                <w:rFonts w:ascii="Calibri" w:eastAsia="Times New Roman" w:hAnsi="Calibri" w:cs="Calibri"/>
                <w:b/>
                <w:bCs/>
                <w:i/>
                <w:iCs/>
                <w:color w:val="000000"/>
                <w:vertAlign w:val="subscript"/>
              </w:rPr>
              <w:t>MSY</w:t>
            </w:r>
          </w:p>
        </w:tc>
        <w:tc>
          <w:tcPr>
            <w:tcW w:w="1620" w:type="dxa"/>
            <w:tcBorders>
              <w:top w:val="nil"/>
              <w:left w:val="nil"/>
              <w:bottom w:val="single" w:sz="8" w:space="0" w:color="auto"/>
              <w:right w:val="single" w:sz="8" w:space="0" w:color="auto"/>
            </w:tcBorders>
            <w:shd w:val="clear" w:color="auto" w:fill="auto"/>
            <w:vAlign w:val="center"/>
            <w:hideMark/>
          </w:tcPr>
          <w:p w14:paraId="7B702912"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ER</w:t>
            </w:r>
            <w:r w:rsidRPr="00EB5788">
              <w:rPr>
                <w:rFonts w:ascii="Calibri" w:eastAsia="Times New Roman" w:hAnsi="Calibri" w:cs="Calibri"/>
                <w:i/>
                <w:iCs/>
                <w:color w:val="000000"/>
                <w:vertAlign w:val="subscript"/>
              </w:rPr>
              <w:t>MSY</w:t>
            </w:r>
          </w:p>
        </w:tc>
        <w:tc>
          <w:tcPr>
            <w:tcW w:w="1660" w:type="dxa"/>
            <w:tcBorders>
              <w:top w:val="nil"/>
              <w:left w:val="nil"/>
              <w:bottom w:val="single" w:sz="8" w:space="0" w:color="auto"/>
              <w:right w:val="single" w:sz="8" w:space="0" w:color="auto"/>
            </w:tcBorders>
            <w:shd w:val="clear" w:color="auto" w:fill="auto"/>
            <w:vAlign w:val="center"/>
            <w:hideMark/>
          </w:tcPr>
          <w:p w14:paraId="18E49D10"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ER</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proxy</w:t>
            </w:r>
          </w:p>
        </w:tc>
        <w:tc>
          <w:tcPr>
            <w:tcW w:w="2300" w:type="dxa"/>
            <w:tcBorders>
              <w:top w:val="nil"/>
              <w:left w:val="nil"/>
              <w:bottom w:val="single" w:sz="8" w:space="0" w:color="auto"/>
              <w:right w:val="single" w:sz="8" w:space="0" w:color="auto"/>
            </w:tcBorders>
            <w:shd w:val="clear" w:color="auto" w:fill="auto"/>
            <w:vAlign w:val="center"/>
            <w:hideMark/>
          </w:tcPr>
          <w:p w14:paraId="156A3CAA" w14:textId="77777777" w:rsidR="00EB5788" w:rsidRPr="00EB5788" w:rsidRDefault="00EB5788" w:rsidP="00EB5788">
            <w:pPr>
              <w:spacing w:after="0" w:line="240" w:lineRule="auto"/>
              <w:rPr>
                <w:rFonts w:ascii="Calibri" w:eastAsia="Times New Roman" w:hAnsi="Calibri" w:cs="Calibri"/>
                <w:color w:val="000000"/>
              </w:rPr>
            </w:pPr>
            <w:r w:rsidRPr="00EB5788">
              <w:rPr>
                <w:rFonts w:ascii="Calibri" w:eastAsia="Times New Roman" w:hAnsi="Calibri" w:cs="Calibri"/>
                <w:color w:val="000000"/>
              </w:rPr>
              <w:t xml:space="preserve">Calculated </w:t>
            </w:r>
            <w:r w:rsidRPr="00EB5788">
              <w:rPr>
                <w:rFonts w:ascii="Calibri" w:eastAsia="Times New Roman" w:hAnsi="Calibri" w:cs="Calibri"/>
                <w:i/>
                <w:iCs/>
                <w:color w:val="000000"/>
              </w:rPr>
              <w:t>ER</w:t>
            </w:r>
            <w:r w:rsidRPr="00EB5788">
              <w:rPr>
                <w:rFonts w:ascii="Calibri" w:eastAsia="Times New Roman" w:hAnsi="Calibri" w:cs="Calibri"/>
                <w:i/>
                <w:iCs/>
                <w:color w:val="000000"/>
                <w:vertAlign w:val="subscript"/>
              </w:rPr>
              <w:t>MSY</w:t>
            </w:r>
          </w:p>
        </w:tc>
        <w:tc>
          <w:tcPr>
            <w:tcW w:w="2660" w:type="dxa"/>
            <w:tcBorders>
              <w:top w:val="nil"/>
              <w:left w:val="nil"/>
              <w:bottom w:val="single" w:sz="8" w:space="0" w:color="auto"/>
              <w:right w:val="single" w:sz="8" w:space="0" w:color="auto"/>
            </w:tcBorders>
            <w:shd w:val="clear" w:color="auto" w:fill="auto"/>
            <w:vAlign w:val="center"/>
            <w:hideMark/>
          </w:tcPr>
          <w:p w14:paraId="27A61509"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ER</w:t>
            </w:r>
            <w:r w:rsidRPr="00EB5788">
              <w:rPr>
                <w:rFonts w:ascii="Calibri" w:eastAsia="Times New Roman" w:hAnsi="Calibri" w:cs="Calibri"/>
                <w:i/>
                <w:iCs/>
                <w:color w:val="000000"/>
                <w:vertAlign w:val="subscript"/>
              </w:rPr>
              <w:t>MGT</w:t>
            </w:r>
          </w:p>
        </w:tc>
      </w:tr>
    </w:tbl>
    <w:p w14:paraId="25FDC009" w14:textId="77777777" w:rsidR="002A353C" w:rsidRDefault="002A353C"/>
    <w:p w14:paraId="7212B585" w14:textId="77777777" w:rsidR="002A353C" w:rsidRDefault="002A353C"/>
    <w:p w14:paraId="4180784F" w14:textId="77777777" w:rsidR="002A353C" w:rsidRDefault="002A353C"/>
    <w:tbl>
      <w:tblPr>
        <w:tblW w:w="9260" w:type="dxa"/>
        <w:tblInd w:w="118" w:type="dxa"/>
        <w:tblLook w:val="04A0" w:firstRow="1" w:lastRow="0" w:firstColumn="1" w:lastColumn="0" w:noHBand="0" w:noVBand="1"/>
      </w:tblPr>
      <w:tblGrid>
        <w:gridCol w:w="1141"/>
        <w:gridCol w:w="1602"/>
        <w:gridCol w:w="1643"/>
        <w:gridCol w:w="2262"/>
        <w:gridCol w:w="2612"/>
      </w:tblGrid>
      <w:tr w:rsidR="00EB5788" w:rsidRPr="00EB5788" w14:paraId="2B055D2E" w14:textId="77777777" w:rsidTr="00EB5788">
        <w:trPr>
          <w:trHeight w:val="588"/>
        </w:trPr>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22F20E"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lastRenderedPageBreak/>
              <w:t>Reference Point</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BACE983"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5</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14:paraId="13872C0C"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6</w:t>
            </w:r>
          </w:p>
        </w:tc>
        <w:tc>
          <w:tcPr>
            <w:tcW w:w="2300" w:type="dxa"/>
            <w:tcBorders>
              <w:top w:val="single" w:sz="8" w:space="0" w:color="auto"/>
              <w:left w:val="nil"/>
              <w:bottom w:val="single" w:sz="8" w:space="0" w:color="auto"/>
              <w:right w:val="single" w:sz="8" w:space="0" w:color="auto"/>
            </w:tcBorders>
            <w:shd w:val="clear" w:color="auto" w:fill="auto"/>
            <w:vAlign w:val="center"/>
            <w:hideMark/>
          </w:tcPr>
          <w:p w14:paraId="43B17996"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7</w:t>
            </w:r>
          </w:p>
        </w:tc>
        <w:tc>
          <w:tcPr>
            <w:tcW w:w="2660" w:type="dxa"/>
            <w:tcBorders>
              <w:top w:val="single" w:sz="8" w:space="0" w:color="auto"/>
              <w:left w:val="nil"/>
              <w:bottom w:val="single" w:sz="8" w:space="0" w:color="auto"/>
              <w:right w:val="single" w:sz="8" w:space="0" w:color="auto"/>
            </w:tcBorders>
            <w:shd w:val="clear" w:color="auto" w:fill="auto"/>
            <w:vAlign w:val="center"/>
            <w:hideMark/>
          </w:tcPr>
          <w:p w14:paraId="0A92564C"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8</w:t>
            </w:r>
          </w:p>
        </w:tc>
      </w:tr>
      <w:tr w:rsidR="00EB5788" w:rsidRPr="00EB5788" w14:paraId="5DA94839" w14:textId="77777777" w:rsidTr="00EB5788">
        <w:trPr>
          <w:trHeight w:val="948"/>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07D470B3" w14:textId="77777777" w:rsidR="00EB5788" w:rsidRPr="00EB5788" w:rsidRDefault="00EB5788" w:rsidP="00EB5788">
            <w:pPr>
              <w:spacing w:after="0" w:line="240" w:lineRule="auto"/>
              <w:rPr>
                <w:rFonts w:ascii="Calibri" w:eastAsia="Times New Roman" w:hAnsi="Calibri" w:cs="Calibri"/>
                <w:b/>
                <w:bCs/>
                <w:i/>
                <w:iCs/>
                <w:color w:val="000000"/>
              </w:rPr>
            </w:pPr>
            <w:r w:rsidRPr="00EB5788">
              <w:rPr>
                <w:rFonts w:ascii="Calibri" w:eastAsia="Times New Roman" w:hAnsi="Calibri" w:cs="Calibri"/>
                <w:b/>
                <w:bCs/>
                <w:i/>
                <w:iCs/>
                <w:color w:val="000000"/>
              </w:rPr>
              <w:t>TB</w:t>
            </w:r>
            <w:r w:rsidRPr="00EB5788">
              <w:rPr>
                <w:rFonts w:ascii="Calibri" w:eastAsia="Times New Roman" w:hAnsi="Calibri" w:cs="Calibri"/>
                <w:b/>
                <w:bCs/>
                <w:i/>
                <w:iCs/>
                <w:color w:val="000000"/>
                <w:vertAlign w:val="subscript"/>
              </w:rPr>
              <w:t>MSY</w:t>
            </w:r>
          </w:p>
        </w:tc>
        <w:tc>
          <w:tcPr>
            <w:tcW w:w="1620" w:type="dxa"/>
            <w:tcBorders>
              <w:top w:val="nil"/>
              <w:left w:val="nil"/>
              <w:bottom w:val="single" w:sz="8" w:space="0" w:color="auto"/>
              <w:right w:val="single" w:sz="8" w:space="0" w:color="auto"/>
            </w:tcBorders>
            <w:shd w:val="clear" w:color="auto" w:fill="auto"/>
            <w:vAlign w:val="center"/>
            <w:hideMark/>
          </w:tcPr>
          <w:p w14:paraId="7BF44556"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MGT</w:t>
            </w:r>
          </w:p>
        </w:tc>
        <w:tc>
          <w:tcPr>
            <w:tcW w:w="1660" w:type="dxa"/>
            <w:tcBorders>
              <w:top w:val="nil"/>
              <w:left w:val="nil"/>
              <w:bottom w:val="single" w:sz="8" w:space="0" w:color="auto"/>
              <w:right w:val="single" w:sz="8" w:space="0" w:color="auto"/>
            </w:tcBorders>
            <w:shd w:val="clear" w:color="auto" w:fill="auto"/>
            <w:vAlign w:val="center"/>
            <w:hideMark/>
          </w:tcPr>
          <w:p w14:paraId="6514EAED"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converted from </w:t>
            </w:r>
            <w:r w:rsidRPr="00EB5788">
              <w:rPr>
                <w:rFonts w:ascii="Calibri" w:eastAsia="Times New Roman" w:hAnsi="Calibri" w:cs="Calibri"/>
                <w:i/>
                <w:iCs/>
                <w:color w:val="000000"/>
              </w:rPr>
              <w:t>SSB</w:t>
            </w:r>
            <w:r w:rsidRPr="00EB5788">
              <w:rPr>
                <w:rFonts w:ascii="Calibri" w:eastAsia="Times New Roman" w:hAnsi="Calibri" w:cs="Calibri"/>
                <w:i/>
                <w:iCs/>
                <w:color w:val="000000"/>
                <w:vertAlign w:val="subscript"/>
              </w:rPr>
              <w:t>MSY</w:t>
            </w:r>
          </w:p>
        </w:tc>
        <w:tc>
          <w:tcPr>
            <w:tcW w:w="2300" w:type="dxa"/>
            <w:tcBorders>
              <w:top w:val="nil"/>
              <w:left w:val="nil"/>
              <w:bottom w:val="single" w:sz="8" w:space="0" w:color="auto"/>
              <w:right w:val="single" w:sz="8" w:space="0" w:color="auto"/>
            </w:tcBorders>
            <w:shd w:val="clear" w:color="auto" w:fill="auto"/>
            <w:vAlign w:val="center"/>
            <w:hideMark/>
          </w:tcPr>
          <w:p w14:paraId="6E857B82"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 xml:space="preserve">MSY </w:t>
            </w:r>
            <w:r w:rsidRPr="00EB5788">
              <w:rPr>
                <w:rFonts w:ascii="Calibri" w:eastAsia="Times New Roman" w:hAnsi="Calibri" w:cs="Calibri"/>
                <w:color w:val="000000"/>
              </w:rPr>
              <w:t xml:space="preserve">converted from </w:t>
            </w:r>
            <w:r w:rsidRPr="00EB5788">
              <w:rPr>
                <w:rFonts w:ascii="Calibri" w:eastAsia="Times New Roman" w:hAnsi="Calibri" w:cs="Calibri"/>
                <w:i/>
                <w:iCs/>
                <w:color w:val="000000"/>
              </w:rPr>
              <w:t>SSB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proxy</w:t>
            </w:r>
          </w:p>
        </w:tc>
        <w:tc>
          <w:tcPr>
            <w:tcW w:w="2660" w:type="dxa"/>
            <w:tcBorders>
              <w:top w:val="nil"/>
              <w:left w:val="nil"/>
              <w:bottom w:val="single" w:sz="8" w:space="0" w:color="auto"/>
              <w:right w:val="single" w:sz="8" w:space="0" w:color="auto"/>
            </w:tcBorders>
            <w:shd w:val="clear" w:color="auto" w:fill="auto"/>
            <w:vAlign w:val="center"/>
            <w:hideMark/>
          </w:tcPr>
          <w:p w14:paraId="11E01C45"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converted from </w:t>
            </w:r>
            <w:r w:rsidRPr="00EB5788">
              <w:rPr>
                <w:rFonts w:ascii="Calibri" w:eastAsia="Times New Roman" w:hAnsi="Calibri" w:cs="Calibri"/>
                <w:i/>
                <w:iCs/>
                <w:color w:val="000000"/>
              </w:rPr>
              <w:t>SSB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that was calculated from </w:t>
            </w:r>
            <w:r w:rsidRPr="00EB5788">
              <w:rPr>
                <w:rFonts w:ascii="Calibri" w:eastAsia="Times New Roman" w:hAnsi="Calibri" w:cs="Calibri"/>
                <w:i/>
                <w:iCs/>
                <w:color w:val="000000"/>
              </w:rPr>
              <w:t>SSB</w:t>
            </w:r>
            <w:r w:rsidRPr="00EB5788">
              <w:rPr>
                <w:rFonts w:ascii="Calibri" w:eastAsia="Times New Roman" w:hAnsi="Calibri" w:cs="Calibri"/>
                <w:color w:val="000000"/>
              </w:rPr>
              <w:t>/</w:t>
            </w:r>
            <w:r w:rsidRPr="00EB5788">
              <w:rPr>
                <w:rFonts w:ascii="Calibri" w:eastAsia="Times New Roman" w:hAnsi="Calibri" w:cs="Calibri"/>
                <w:i/>
                <w:iCs/>
                <w:color w:val="000000"/>
              </w:rPr>
              <w:t>SSB</w:t>
            </w:r>
            <w:r w:rsidRPr="00EB5788">
              <w:rPr>
                <w:rFonts w:ascii="Calibri" w:eastAsia="Times New Roman" w:hAnsi="Calibri" w:cs="Calibri"/>
                <w:i/>
                <w:iCs/>
                <w:color w:val="000000"/>
                <w:vertAlign w:val="subscript"/>
              </w:rPr>
              <w:t>MSY</w:t>
            </w:r>
          </w:p>
        </w:tc>
      </w:tr>
      <w:tr w:rsidR="00EB5788" w:rsidRPr="00EB5788" w14:paraId="5F027045" w14:textId="77777777" w:rsidTr="00EB5788">
        <w:trPr>
          <w:trHeight w:val="1476"/>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4244A5A6" w14:textId="77777777" w:rsidR="00EB5788" w:rsidRPr="00EB5788" w:rsidRDefault="00EB5788" w:rsidP="00EB5788">
            <w:pPr>
              <w:spacing w:after="0" w:line="240" w:lineRule="auto"/>
              <w:rPr>
                <w:rFonts w:ascii="Calibri" w:eastAsia="Times New Roman" w:hAnsi="Calibri" w:cs="Calibri"/>
                <w:b/>
                <w:bCs/>
                <w:i/>
                <w:iCs/>
                <w:color w:val="000000"/>
              </w:rPr>
            </w:pPr>
            <w:r w:rsidRPr="00EB5788">
              <w:rPr>
                <w:rFonts w:ascii="Calibri" w:eastAsia="Times New Roman" w:hAnsi="Calibri" w:cs="Calibri"/>
                <w:b/>
                <w:bCs/>
                <w:i/>
                <w:iCs/>
                <w:color w:val="000000"/>
              </w:rPr>
              <w:t>ER</w:t>
            </w:r>
            <w:r w:rsidRPr="00EB5788">
              <w:rPr>
                <w:rFonts w:ascii="Calibri" w:eastAsia="Times New Roman" w:hAnsi="Calibri" w:cs="Calibri"/>
                <w:b/>
                <w:bCs/>
                <w:i/>
                <w:iCs/>
                <w:color w:val="000000"/>
                <w:vertAlign w:val="subscript"/>
              </w:rPr>
              <w:t>MSY</w:t>
            </w:r>
          </w:p>
        </w:tc>
        <w:tc>
          <w:tcPr>
            <w:tcW w:w="1620" w:type="dxa"/>
            <w:tcBorders>
              <w:top w:val="nil"/>
              <w:left w:val="nil"/>
              <w:bottom w:val="single" w:sz="8" w:space="0" w:color="auto"/>
              <w:right w:val="single" w:sz="8" w:space="0" w:color="auto"/>
            </w:tcBorders>
            <w:shd w:val="clear" w:color="auto" w:fill="auto"/>
            <w:vAlign w:val="center"/>
            <w:hideMark/>
          </w:tcPr>
          <w:p w14:paraId="5E939D35"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ER</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only usable in model-fits version due to request by assessors</w:t>
            </w:r>
          </w:p>
        </w:tc>
        <w:tc>
          <w:tcPr>
            <w:tcW w:w="1660" w:type="dxa"/>
            <w:tcBorders>
              <w:top w:val="nil"/>
              <w:left w:val="nil"/>
              <w:bottom w:val="single" w:sz="8" w:space="0" w:color="auto"/>
              <w:right w:val="single" w:sz="8" w:space="0" w:color="auto"/>
            </w:tcBorders>
            <w:shd w:val="clear" w:color="auto" w:fill="auto"/>
            <w:vAlign w:val="center"/>
            <w:hideMark/>
          </w:tcPr>
          <w:p w14:paraId="6002D42B" w14:textId="77777777" w:rsidR="00EB5788" w:rsidRPr="00EB5788" w:rsidRDefault="00EB5788" w:rsidP="00EB5788">
            <w:pPr>
              <w:spacing w:after="0" w:line="240" w:lineRule="auto"/>
              <w:rPr>
                <w:rFonts w:ascii="Calibri" w:eastAsia="Times New Roman" w:hAnsi="Calibri" w:cs="Calibri"/>
                <w:color w:val="000000"/>
              </w:rPr>
            </w:pPr>
            <w:r w:rsidRPr="00EB5788">
              <w:rPr>
                <w:rFonts w:ascii="Calibri" w:eastAsia="Times New Roman" w:hAnsi="Calibri" w:cs="Calibri"/>
                <w:color w:val="000000"/>
              </w:rPr>
              <w:t xml:space="preserve">Calculated </w:t>
            </w:r>
            <w:r w:rsidRPr="00EB5788">
              <w:rPr>
                <w:rFonts w:ascii="Calibri" w:eastAsia="Times New Roman" w:hAnsi="Calibri" w:cs="Calibri"/>
                <w:i/>
                <w:iCs/>
                <w:color w:val="000000"/>
              </w:rPr>
              <w:t>ER</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with value of </w:t>
            </w:r>
            <w:r w:rsidRPr="00EB5788">
              <w:rPr>
                <w:rFonts w:ascii="Calibri" w:eastAsia="Times New Roman" w:hAnsi="Calibri" w:cs="Calibri"/>
                <w:i/>
                <w:iCs/>
                <w:color w:val="000000"/>
              </w:rPr>
              <w:t>TB</w:t>
            </w:r>
            <w:r w:rsidRPr="00EB5788">
              <w:rPr>
                <w:rFonts w:ascii="Calibri" w:eastAsia="Times New Roman" w:hAnsi="Calibri" w:cs="Calibri"/>
                <w:color w:val="000000"/>
              </w:rPr>
              <w:t xml:space="preserve"> converted from </w:t>
            </w:r>
            <w:r w:rsidRPr="00EB5788">
              <w:rPr>
                <w:rFonts w:ascii="Calibri" w:eastAsia="Times New Roman" w:hAnsi="Calibri" w:cs="Calibri"/>
                <w:i/>
                <w:iCs/>
                <w:color w:val="000000"/>
              </w:rPr>
              <w:t>SSB</w:t>
            </w:r>
          </w:p>
        </w:tc>
        <w:tc>
          <w:tcPr>
            <w:tcW w:w="2300" w:type="dxa"/>
            <w:tcBorders>
              <w:top w:val="nil"/>
              <w:left w:val="nil"/>
              <w:bottom w:val="single" w:sz="8" w:space="0" w:color="auto"/>
              <w:right w:val="single" w:sz="8" w:space="0" w:color="auto"/>
            </w:tcBorders>
            <w:shd w:val="clear" w:color="000000" w:fill="808080"/>
            <w:vAlign w:val="center"/>
            <w:hideMark/>
          </w:tcPr>
          <w:p w14:paraId="67924E42" w14:textId="77777777" w:rsidR="00EB5788" w:rsidRPr="00EB5788" w:rsidRDefault="00EB5788" w:rsidP="00EB5788">
            <w:pPr>
              <w:spacing w:after="0" w:line="240" w:lineRule="auto"/>
              <w:rPr>
                <w:rFonts w:ascii="Calibri" w:eastAsia="Times New Roman" w:hAnsi="Calibri" w:cs="Calibri"/>
                <w:color w:val="000000"/>
              </w:rPr>
            </w:pPr>
            <w:r w:rsidRPr="00EB5788">
              <w:rPr>
                <w:rFonts w:ascii="Calibri" w:eastAsia="Times New Roman" w:hAnsi="Calibri" w:cs="Calibri"/>
                <w:color w:val="000000"/>
              </w:rPr>
              <w:t> </w:t>
            </w:r>
          </w:p>
        </w:tc>
        <w:tc>
          <w:tcPr>
            <w:tcW w:w="2660" w:type="dxa"/>
            <w:tcBorders>
              <w:top w:val="nil"/>
              <w:left w:val="nil"/>
              <w:bottom w:val="single" w:sz="8" w:space="0" w:color="auto"/>
              <w:right w:val="single" w:sz="8" w:space="0" w:color="auto"/>
            </w:tcBorders>
            <w:shd w:val="clear" w:color="000000" w:fill="808080"/>
            <w:vAlign w:val="center"/>
            <w:hideMark/>
          </w:tcPr>
          <w:p w14:paraId="72D1359B" w14:textId="77777777" w:rsidR="00EB5788" w:rsidRPr="00EB5788" w:rsidRDefault="00EB5788" w:rsidP="00EB5788">
            <w:pPr>
              <w:spacing w:after="0" w:line="240" w:lineRule="auto"/>
              <w:rPr>
                <w:rFonts w:ascii="Calibri" w:eastAsia="Times New Roman" w:hAnsi="Calibri" w:cs="Calibri"/>
                <w:color w:val="000000"/>
              </w:rPr>
            </w:pPr>
            <w:r w:rsidRPr="00EB5788">
              <w:rPr>
                <w:rFonts w:ascii="Calibri" w:eastAsia="Times New Roman" w:hAnsi="Calibri" w:cs="Calibri"/>
                <w:color w:val="000000"/>
              </w:rPr>
              <w:t> </w:t>
            </w:r>
          </w:p>
        </w:tc>
      </w:tr>
    </w:tbl>
    <w:p w14:paraId="6C4DC0B0" w14:textId="77777777" w:rsidR="002A353C" w:rsidRDefault="002A353C"/>
    <w:tbl>
      <w:tblPr>
        <w:tblW w:w="9260" w:type="dxa"/>
        <w:tblInd w:w="118" w:type="dxa"/>
        <w:tblLook w:val="04A0" w:firstRow="1" w:lastRow="0" w:firstColumn="1" w:lastColumn="0" w:noHBand="0" w:noVBand="1"/>
      </w:tblPr>
      <w:tblGrid>
        <w:gridCol w:w="1141"/>
        <w:gridCol w:w="1604"/>
        <w:gridCol w:w="1643"/>
        <w:gridCol w:w="2262"/>
        <w:gridCol w:w="2610"/>
      </w:tblGrid>
      <w:tr w:rsidR="00EB5788" w:rsidRPr="00EB5788" w14:paraId="7AF2631D" w14:textId="77777777" w:rsidTr="00EB5788">
        <w:trPr>
          <w:trHeight w:val="588"/>
        </w:trPr>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3C29AA8"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Reference Point</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1BB40589"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9</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14:paraId="64451ED3"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10</w:t>
            </w:r>
          </w:p>
        </w:tc>
        <w:tc>
          <w:tcPr>
            <w:tcW w:w="2300" w:type="dxa"/>
            <w:tcBorders>
              <w:top w:val="single" w:sz="8" w:space="0" w:color="auto"/>
              <w:left w:val="nil"/>
              <w:bottom w:val="single" w:sz="8" w:space="0" w:color="auto"/>
              <w:right w:val="single" w:sz="8" w:space="0" w:color="auto"/>
            </w:tcBorders>
            <w:shd w:val="clear" w:color="auto" w:fill="auto"/>
            <w:vAlign w:val="center"/>
            <w:hideMark/>
          </w:tcPr>
          <w:p w14:paraId="4ABC7E7C"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11</w:t>
            </w:r>
          </w:p>
        </w:tc>
        <w:tc>
          <w:tcPr>
            <w:tcW w:w="2660" w:type="dxa"/>
            <w:tcBorders>
              <w:top w:val="single" w:sz="8" w:space="0" w:color="auto"/>
              <w:left w:val="nil"/>
              <w:bottom w:val="single" w:sz="8" w:space="0" w:color="auto"/>
              <w:right w:val="single" w:sz="8" w:space="0" w:color="auto"/>
            </w:tcBorders>
            <w:shd w:val="clear" w:color="auto" w:fill="auto"/>
            <w:vAlign w:val="center"/>
            <w:hideMark/>
          </w:tcPr>
          <w:p w14:paraId="3C4D4239" w14:textId="77777777" w:rsidR="00EB5788" w:rsidRPr="00EB5788" w:rsidRDefault="00EB5788" w:rsidP="00EB5788">
            <w:pPr>
              <w:spacing w:after="0" w:line="240" w:lineRule="auto"/>
              <w:rPr>
                <w:rFonts w:ascii="Calibri" w:eastAsia="Times New Roman" w:hAnsi="Calibri" w:cs="Calibri"/>
                <w:b/>
                <w:bCs/>
                <w:color w:val="000000"/>
              </w:rPr>
            </w:pPr>
            <w:r w:rsidRPr="00EB5788">
              <w:rPr>
                <w:rFonts w:ascii="Calibri" w:eastAsia="Times New Roman" w:hAnsi="Calibri" w:cs="Calibri"/>
                <w:b/>
                <w:bCs/>
                <w:color w:val="000000"/>
              </w:rPr>
              <w:t>Source 12</w:t>
            </w:r>
          </w:p>
        </w:tc>
      </w:tr>
      <w:tr w:rsidR="00EB5788" w:rsidRPr="00EB5788" w14:paraId="239EA4B6" w14:textId="77777777" w:rsidTr="00EB5788">
        <w:trPr>
          <w:trHeight w:val="948"/>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3FD14AA5" w14:textId="77777777" w:rsidR="00EB5788" w:rsidRPr="00EB5788" w:rsidRDefault="00EB5788" w:rsidP="00EB5788">
            <w:pPr>
              <w:spacing w:after="0" w:line="240" w:lineRule="auto"/>
              <w:rPr>
                <w:rFonts w:ascii="Calibri" w:eastAsia="Times New Roman" w:hAnsi="Calibri" w:cs="Calibri"/>
                <w:b/>
                <w:bCs/>
                <w:i/>
                <w:iCs/>
                <w:color w:val="000000"/>
              </w:rPr>
            </w:pPr>
            <w:r w:rsidRPr="00EB5788">
              <w:rPr>
                <w:rFonts w:ascii="Calibri" w:eastAsia="Times New Roman" w:hAnsi="Calibri" w:cs="Calibri"/>
                <w:b/>
                <w:bCs/>
                <w:i/>
                <w:iCs/>
                <w:color w:val="000000"/>
              </w:rPr>
              <w:t>TB</w:t>
            </w:r>
            <w:r w:rsidRPr="00EB5788">
              <w:rPr>
                <w:rFonts w:ascii="Calibri" w:eastAsia="Times New Roman" w:hAnsi="Calibri" w:cs="Calibri"/>
                <w:b/>
                <w:bCs/>
                <w:i/>
                <w:iCs/>
                <w:color w:val="000000"/>
                <w:vertAlign w:val="subscript"/>
              </w:rPr>
              <w:t>MSY</w:t>
            </w:r>
          </w:p>
        </w:tc>
        <w:tc>
          <w:tcPr>
            <w:tcW w:w="1620" w:type="dxa"/>
            <w:tcBorders>
              <w:top w:val="nil"/>
              <w:left w:val="nil"/>
              <w:bottom w:val="single" w:sz="8" w:space="0" w:color="auto"/>
              <w:right w:val="single" w:sz="8" w:space="0" w:color="auto"/>
            </w:tcBorders>
            <w:shd w:val="clear" w:color="auto" w:fill="auto"/>
            <w:vAlign w:val="center"/>
            <w:hideMark/>
          </w:tcPr>
          <w:p w14:paraId="5B296033"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MGT</w:t>
            </w:r>
            <w:r w:rsidRPr="00EB5788">
              <w:rPr>
                <w:rFonts w:ascii="Calibri" w:eastAsia="Times New Roman" w:hAnsi="Calibri" w:cs="Calibri"/>
                <w:color w:val="000000"/>
              </w:rPr>
              <w:t xml:space="preserve"> converted from </w:t>
            </w:r>
            <w:r w:rsidRPr="00EB5788">
              <w:rPr>
                <w:rFonts w:ascii="Calibri" w:eastAsia="Times New Roman" w:hAnsi="Calibri" w:cs="Calibri"/>
                <w:i/>
                <w:iCs/>
                <w:color w:val="000000"/>
              </w:rPr>
              <w:t>SSB</w:t>
            </w:r>
            <w:r w:rsidRPr="00EB5788">
              <w:rPr>
                <w:rFonts w:ascii="Calibri" w:eastAsia="Times New Roman" w:hAnsi="Calibri" w:cs="Calibri"/>
                <w:i/>
                <w:iCs/>
                <w:color w:val="000000"/>
                <w:vertAlign w:val="subscript"/>
              </w:rPr>
              <w:t>MGT</w:t>
            </w:r>
          </w:p>
        </w:tc>
        <w:tc>
          <w:tcPr>
            <w:tcW w:w="1660" w:type="dxa"/>
            <w:tcBorders>
              <w:top w:val="nil"/>
              <w:left w:val="nil"/>
              <w:bottom w:val="single" w:sz="8" w:space="0" w:color="auto"/>
              <w:right w:val="single" w:sz="8" w:space="0" w:color="auto"/>
            </w:tcBorders>
            <w:shd w:val="clear" w:color="auto" w:fill="auto"/>
            <w:vAlign w:val="center"/>
            <w:hideMark/>
          </w:tcPr>
          <w:p w14:paraId="5D5C7093"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converted from </w:t>
            </w: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0</w:t>
            </w:r>
          </w:p>
        </w:tc>
        <w:tc>
          <w:tcPr>
            <w:tcW w:w="2300" w:type="dxa"/>
            <w:tcBorders>
              <w:top w:val="nil"/>
              <w:left w:val="nil"/>
              <w:bottom w:val="single" w:sz="8" w:space="0" w:color="auto"/>
              <w:right w:val="single" w:sz="8" w:space="0" w:color="auto"/>
            </w:tcBorders>
            <w:shd w:val="clear" w:color="auto" w:fill="auto"/>
            <w:vAlign w:val="center"/>
            <w:hideMark/>
          </w:tcPr>
          <w:p w14:paraId="3E578E65"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converted from </w:t>
            </w:r>
            <w:r w:rsidRPr="00EB5788">
              <w:rPr>
                <w:rFonts w:ascii="Calibri" w:eastAsia="Times New Roman" w:hAnsi="Calibri" w:cs="Calibri"/>
                <w:i/>
                <w:iCs/>
                <w:color w:val="000000"/>
              </w:rPr>
              <w:t>SSB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that came from </w:t>
            </w:r>
            <w:r w:rsidRPr="00EB5788">
              <w:rPr>
                <w:rFonts w:ascii="Calibri" w:eastAsia="Times New Roman" w:hAnsi="Calibri" w:cs="Calibri"/>
                <w:i/>
                <w:iCs/>
                <w:color w:val="000000"/>
              </w:rPr>
              <w:t>SSB</w:t>
            </w:r>
            <w:r w:rsidRPr="00EB5788">
              <w:rPr>
                <w:rFonts w:ascii="Calibri" w:eastAsia="Times New Roman" w:hAnsi="Calibri" w:cs="Calibri"/>
                <w:i/>
                <w:iCs/>
                <w:color w:val="000000"/>
                <w:vertAlign w:val="subscript"/>
              </w:rPr>
              <w:t>0</w:t>
            </w:r>
          </w:p>
        </w:tc>
        <w:tc>
          <w:tcPr>
            <w:tcW w:w="2660" w:type="dxa"/>
            <w:tcBorders>
              <w:top w:val="nil"/>
              <w:left w:val="nil"/>
              <w:bottom w:val="single" w:sz="8" w:space="0" w:color="auto"/>
              <w:right w:val="single" w:sz="8" w:space="0" w:color="auto"/>
            </w:tcBorders>
            <w:shd w:val="clear" w:color="auto" w:fill="auto"/>
            <w:vAlign w:val="center"/>
            <w:hideMark/>
          </w:tcPr>
          <w:p w14:paraId="3FFE8E1C" w14:textId="77777777" w:rsidR="00EB5788" w:rsidRPr="00EB5788" w:rsidRDefault="00EB5788" w:rsidP="00EB5788">
            <w:pPr>
              <w:spacing w:after="0" w:line="240" w:lineRule="auto"/>
              <w:rPr>
                <w:rFonts w:ascii="Calibri" w:eastAsia="Times New Roman" w:hAnsi="Calibri" w:cs="Calibri"/>
                <w:i/>
                <w:iCs/>
                <w:color w:val="000000"/>
              </w:rPr>
            </w:pPr>
            <w:r w:rsidRPr="00EB5788">
              <w:rPr>
                <w:rFonts w:ascii="Calibri" w:eastAsia="Times New Roman" w:hAnsi="Calibri" w:cs="Calibri"/>
                <w:i/>
                <w:iCs/>
                <w:color w:val="000000"/>
              </w:rPr>
              <w:t>TB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converted from </w:t>
            </w:r>
            <w:r w:rsidRPr="00EB5788">
              <w:rPr>
                <w:rFonts w:ascii="Calibri" w:eastAsia="Times New Roman" w:hAnsi="Calibri" w:cs="Calibri"/>
                <w:i/>
                <w:iCs/>
                <w:color w:val="000000"/>
              </w:rPr>
              <w:t>SSB</w:t>
            </w:r>
            <w:r w:rsidRPr="00EB5788">
              <w:rPr>
                <w:rFonts w:ascii="Calibri" w:eastAsia="Times New Roman" w:hAnsi="Calibri" w:cs="Calibri"/>
                <w:i/>
                <w:iCs/>
                <w:color w:val="000000"/>
                <w:vertAlign w:val="subscript"/>
              </w:rPr>
              <w:t>MSY</w:t>
            </w:r>
            <w:r w:rsidRPr="00EB5788">
              <w:rPr>
                <w:rFonts w:ascii="Calibri" w:eastAsia="Times New Roman" w:hAnsi="Calibri" w:cs="Calibri"/>
                <w:color w:val="000000"/>
              </w:rPr>
              <w:t xml:space="preserve"> that came from derived Method B</w:t>
            </w:r>
          </w:p>
        </w:tc>
      </w:tr>
      <w:tr w:rsidR="00EB5788" w:rsidRPr="00EB5788" w14:paraId="686D5019" w14:textId="77777777" w:rsidTr="00EB5788">
        <w:trPr>
          <w:trHeight w:val="324"/>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18219A1C" w14:textId="77777777" w:rsidR="00EB5788" w:rsidRPr="00EB5788" w:rsidRDefault="00EB5788" w:rsidP="00EB5788">
            <w:pPr>
              <w:spacing w:after="0" w:line="240" w:lineRule="auto"/>
              <w:rPr>
                <w:rFonts w:ascii="Calibri" w:eastAsia="Times New Roman" w:hAnsi="Calibri" w:cs="Calibri"/>
                <w:b/>
                <w:bCs/>
                <w:i/>
                <w:iCs/>
                <w:color w:val="000000"/>
              </w:rPr>
            </w:pPr>
            <w:r w:rsidRPr="00EB5788">
              <w:rPr>
                <w:rFonts w:ascii="Calibri" w:eastAsia="Times New Roman" w:hAnsi="Calibri" w:cs="Calibri"/>
                <w:b/>
                <w:bCs/>
                <w:i/>
                <w:iCs/>
                <w:color w:val="000000"/>
              </w:rPr>
              <w:t>ER</w:t>
            </w:r>
            <w:r w:rsidRPr="00EB5788">
              <w:rPr>
                <w:rFonts w:ascii="Calibri" w:eastAsia="Times New Roman" w:hAnsi="Calibri" w:cs="Calibri"/>
                <w:b/>
                <w:bCs/>
                <w:i/>
                <w:iCs/>
                <w:color w:val="000000"/>
                <w:vertAlign w:val="subscript"/>
              </w:rPr>
              <w:t>MSY</w:t>
            </w:r>
          </w:p>
        </w:tc>
        <w:tc>
          <w:tcPr>
            <w:tcW w:w="1620" w:type="dxa"/>
            <w:tcBorders>
              <w:top w:val="nil"/>
              <w:left w:val="nil"/>
              <w:bottom w:val="single" w:sz="8" w:space="0" w:color="auto"/>
              <w:right w:val="single" w:sz="8" w:space="0" w:color="auto"/>
            </w:tcBorders>
            <w:shd w:val="clear" w:color="000000" w:fill="808080"/>
            <w:vAlign w:val="center"/>
            <w:hideMark/>
          </w:tcPr>
          <w:p w14:paraId="5C21DC4B" w14:textId="77777777" w:rsidR="00EB5788" w:rsidRPr="00EB5788" w:rsidRDefault="00EB5788" w:rsidP="00EB5788">
            <w:pPr>
              <w:spacing w:after="0" w:line="240" w:lineRule="auto"/>
              <w:rPr>
                <w:rFonts w:ascii="Calibri" w:eastAsia="Times New Roman" w:hAnsi="Calibri" w:cs="Calibri"/>
                <w:color w:val="000000"/>
              </w:rPr>
            </w:pPr>
            <w:r w:rsidRPr="00EB5788">
              <w:rPr>
                <w:rFonts w:ascii="Calibri" w:eastAsia="Times New Roman" w:hAnsi="Calibri" w:cs="Calibri"/>
                <w:color w:val="000000"/>
              </w:rPr>
              <w:t> </w:t>
            </w:r>
          </w:p>
        </w:tc>
        <w:tc>
          <w:tcPr>
            <w:tcW w:w="1660" w:type="dxa"/>
            <w:tcBorders>
              <w:top w:val="nil"/>
              <w:left w:val="nil"/>
              <w:bottom w:val="single" w:sz="8" w:space="0" w:color="auto"/>
              <w:right w:val="single" w:sz="8" w:space="0" w:color="auto"/>
            </w:tcBorders>
            <w:shd w:val="clear" w:color="000000" w:fill="808080"/>
            <w:vAlign w:val="center"/>
            <w:hideMark/>
          </w:tcPr>
          <w:p w14:paraId="1A0D04F6" w14:textId="77777777" w:rsidR="00EB5788" w:rsidRPr="00EB5788" w:rsidRDefault="00EB5788" w:rsidP="00EB5788">
            <w:pPr>
              <w:spacing w:after="0" w:line="240" w:lineRule="auto"/>
              <w:rPr>
                <w:rFonts w:ascii="Calibri" w:eastAsia="Times New Roman" w:hAnsi="Calibri" w:cs="Calibri"/>
                <w:color w:val="000000"/>
              </w:rPr>
            </w:pPr>
            <w:r w:rsidRPr="00EB5788">
              <w:rPr>
                <w:rFonts w:ascii="Calibri" w:eastAsia="Times New Roman" w:hAnsi="Calibri" w:cs="Calibri"/>
                <w:color w:val="000000"/>
              </w:rPr>
              <w:t> </w:t>
            </w:r>
          </w:p>
        </w:tc>
        <w:tc>
          <w:tcPr>
            <w:tcW w:w="2300" w:type="dxa"/>
            <w:tcBorders>
              <w:top w:val="nil"/>
              <w:left w:val="nil"/>
              <w:bottom w:val="single" w:sz="8" w:space="0" w:color="auto"/>
              <w:right w:val="single" w:sz="8" w:space="0" w:color="auto"/>
            </w:tcBorders>
            <w:shd w:val="clear" w:color="000000" w:fill="808080"/>
            <w:vAlign w:val="center"/>
            <w:hideMark/>
          </w:tcPr>
          <w:p w14:paraId="0084116F" w14:textId="77777777" w:rsidR="00EB5788" w:rsidRPr="00EB5788" w:rsidRDefault="00EB5788" w:rsidP="00EB5788">
            <w:pPr>
              <w:spacing w:after="0" w:line="240" w:lineRule="auto"/>
              <w:rPr>
                <w:rFonts w:ascii="Calibri" w:eastAsia="Times New Roman" w:hAnsi="Calibri" w:cs="Calibri"/>
                <w:color w:val="000000"/>
              </w:rPr>
            </w:pPr>
            <w:r w:rsidRPr="00EB5788">
              <w:rPr>
                <w:rFonts w:ascii="Calibri" w:eastAsia="Times New Roman" w:hAnsi="Calibri" w:cs="Calibri"/>
                <w:color w:val="000000"/>
              </w:rPr>
              <w:t> </w:t>
            </w:r>
          </w:p>
        </w:tc>
        <w:tc>
          <w:tcPr>
            <w:tcW w:w="2660" w:type="dxa"/>
            <w:tcBorders>
              <w:top w:val="nil"/>
              <w:left w:val="nil"/>
              <w:bottom w:val="single" w:sz="8" w:space="0" w:color="auto"/>
              <w:right w:val="single" w:sz="8" w:space="0" w:color="auto"/>
            </w:tcBorders>
            <w:shd w:val="clear" w:color="000000" w:fill="808080"/>
            <w:vAlign w:val="center"/>
            <w:hideMark/>
          </w:tcPr>
          <w:p w14:paraId="659D8E69" w14:textId="77777777" w:rsidR="00EB5788" w:rsidRPr="00EB5788" w:rsidRDefault="00EB5788" w:rsidP="00EB5788">
            <w:pPr>
              <w:spacing w:after="0" w:line="240" w:lineRule="auto"/>
              <w:rPr>
                <w:rFonts w:ascii="Calibri" w:eastAsia="Times New Roman" w:hAnsi="Calibri" w:cs="Calibri"/>
                <w:color w:val="000000"/>
              </w:rPr>
            </w:pPr>
            <w:r w:rsidRPr="00EB5788">
              <w:rPr>
                <w:rFonts w:ascii="Calibri" w:eastAsia="Times New Roman" w:hAnsi="Calibri" w:cs="Calibri"/>
                <w:color w:val="000000"/>
              </w:rPr>
              <w:t> </w:t>
            </w:r>
          </w:p>
        </w:tc>
      </w:tr>
    </w:tbl>
    <w:p w14:paraId="4149519F" w14:textId="77777777" w:rsidR="00EB5788" w:rsidRDefault="00EB5788"/>
    <w:p w14:paraId="00E49166" w14:textId="77777777" w:rsidR="002A353C" w:rsidRDefault="002A353C"/>
    <w:p w14:paraId="70EF1E14" w14:textId="77777777" w:rsidR="00E011DC" w:rsidRDefault="00E011DC"/>
    <w:p w14:paraId="095397E1" w14:textId="77777777" w:rsidR="00C074D2" w:rsidRPr="00445594" w:rsidRDefault="00C074D2" w:rsidP="00C074D2">
      <w:pPr>
        <w:jc w:val="center"/>
        <w:rPr>
          <w:b/>
          <w:sz w:val="32"/>
          <w:szCs w:val="32"/>
        </w:rPr>
      </w:pPr>
      <w:r w:rsidRPr="00445594">
        <w:rPr>
          <w:b/>
          <w:sz w:val="32"/>
          <w:szCs w:val="32"/>
        </w:rPr>
        <w:t>Fixed Parameters</w:t>
      </w:r>
      <w:r w:rsidR="00445594" w:rsidRPr="00445594">
        <w:rPr>
          <w:b/>
          <w:sz w:val="32"/>
          <w:szCs w:val="32"/>
        </w:rPr>
        <w:t xml:space="preserve"> (Table </w:t>
      </w:r>
      <w:r w:rsidR="00EC3FF8">
        <w:rPr>
          <w:b/>
          <w:sz w:val="32"/>
          <w:szCs w:val="32"/>
        </w:rPr>
        <w:t>4</w:t>
      </w:r>
      <w:r w:rsidR="00445594" w:rsidRPr="00445594">
        <w:rPr>
          <w:b/>
          <w:sz w:val="32"/>
          <w:szCs w:val="32"/>
        </w:rPr>
        <w:t>)</w:t>
      </w:r>
    </w:p>
    <w:p w14:paraId="66F64D55" w14:textId="77777777" w:rsidR="00C074D2" w:rsidRDefault="00B2273E">
      <w:r>
        <w:t xml:space="preserve">This </w:t>
      </w:r>
      <w:r w:rsidR="004D5C41">
        <w:t>table shows the</w:t>
      </w:r>
      <w:r w:rsidR="006A4469">
        <w:t xml:space="preserve"> possible</w:t>
      </w:r>
      <w:r w:rsidR="004D5C41">
        <w:t xml:space="preserve"> f</w:t>
      </w:r>
      <w:r w:rsidR="00445594">
        <w:t>ixed</w:t>
      </w:r>
      <w:r w:rsidR="007E06BA">
        <w:t xml:space="preserve"> values </w:t>
      </w:r>
      <w:r w:rsidR="004D5C41">
        <w:t>of</w:t>
      </w:r>
      <w:r w:rsidR="00445594">
        <w:t xml:space="preserve"> </w:t>
      </w:r>
      <w:r w:rsidR="007E06BA">
        <w:t>parameters</w:t>
      </w:r>
      <w:r w:rsidR="004D5C41">
        <w:t xml:space="preserve"> used in the set of model cases</w:t>
      </w:r>
      <w:r>
        <w:t xml:space="preserve"> listed in </w:t>
      </w:r>
      <w:r w:rsidRPr="00B2273E">
        <w:rPr>
          <w:b/>
        </w:rPr>
        <w:t>Table 1</w:t>
      </w:r>
      <w:r w:rsidR="007E06BA">
        <w:t>.</w:t>
      </w:r>
    </w:p>
    <w:p w14:paraId="1201915F" w14:textId="77777777" w:rsidR="00DA6BA1" w:rsidRDefault="00DA6BA1"/>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64"/>
        <w:gridCol w:w="2011"/>
        <w:gridCol w:w="1980"/>
        <w:gridCol w:w="2160"/>
        <w:gridCol w:w="1008"/>
      </w:tblGrid>
      <w:tr w:rsidR="00CA58E8" w:rsidRPr="00C074D2" w14:paraId="6DACE864" w14:textId="77777777" w:rsidTr="0084461F">
        <w:trPr>
          <w:trHeight w:val="300"/>
        </w:trPr>
        <w:tc>
          <w:tcPr>
            <w:tcW w:w="960" w:type="dxa"/>
            <w:shd w:val="clear" w:color="auto" w:fill="auto"/>
            <w:noWrap/>
            <w:vAlign w:val="bottom"/>
            <w:hideMark/>
          </w:tcPr>
          <w:p w14:paraId="613294AB" w14:textId="4B047F1C" w:rsidR="00CA58E8" w:rsidRPr="00E22BE1" w:rsidRDefault="00CA58E8" w:rsidP="00C074D2">
            <w:pPr>
              <w:spacing w:after="0" w:line="240" w:lineRule="auto"/>
              <w:rPr>
                <w:rFonts w:ascii="Calibri" w:eastAsia="Times New Roman" w:hAnsi="Calibri" w:cs="Times New Roman"/>
                <w:b/>
                <w:i/>
                <w:iCs/>
                <w:color w:val="000000"/>
              </w:rPr>
            </w:pPr>
            <w:r w:rsidRPr="00E22BE1">
              <w:rPr>
                <w:rFonts w:ascii="Calibri" w:eastAsia="Times New Roman" w:hAnsi="Calibri" w:cs="Times New Roman"/>
                <w:b/>
                <w:i/>
                <w:iCs/>
                <w:color w:val="000000"/>
              </w:rPr>
              <w:t>ER</w:t>
            </w:r>
            <w:r w:rsidR="00E22BE1" w:rsidRPr="00E22BE1">
              <w:rPr>
                <w:b/>
                <w:i/>
                <w:iCs/>
                <w:vertAlign w:val="subscript"/>
              </w:rPr>
              <w:t>MSY</w:t>
            </w:r>
          </w:p>
        </w:tc>
        <w:tc>
          <w:tcPr>
            <w:tcW w:w="3375" w:type="dxa"/>
            <w:gridSpan w:val="2"/>
            <w:shd w:val="clear" w:color="auto" w:fill="auto"/>
            <w:noWrap/>
            <w:vAlign w:val="bottom"/>
            <w:hideMark/>
          </w:tcPr>
          <w:p w14:paraId="6C7E55EF"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Assessment Value</w:t>
            </w:r>
          </w:p>
        </w:tc>
        <w:tc>
          <w:tcPr>
            <w:tcW w:w="1980" w:type="dxa"/>
            <w:shd w:val="clear" w:color="auto" w:fill="595959" w:themeFill="text1" w:themeFillTint="A6"/>
            <w:noWrap/>
            <w:vAlign w:val="bottom"/>
            <w:hideMark/>
          </w:tcPr>
          <w:p w14:paraId="45B3AEA8" w14:textId="77777777" w:rsidR="00CA58E8" w:rsidRPr="00C074D2" w:rsidRDefault="00CA58E8" w:rsidP="00C074D2">
            <w:pPr>
              <w:spacing w:after="0" w:line="240" w:lineRule="auto"/>
              <w:rPr>
                <w:rFonts w:ascii="Calibri" w:eastAsia="Times New Roman" w:hAnsi="Calibri" w:cs="Times New Roman"/>
                <w:color w:val="000000"/>
              </w:rPr>
            </w:pPr>
          </w:p>
        </w:tc>
        <w:tc>
          <w:tcPr>
            <w:tcW w:w="2160" w:type="dxa"/>
            <w:shd w:val="clear" w:color="auto" w:fill="595959" w:themeFill="text1" w:themeFillTint="A6"/>
            <w:noWrap/>
            <w:vAlign w:val="bottom"/>
            <w:hideMark/>
          </w:tcPr>
          <w:p w14:paraId="19402E30" w14:textId="77777777" w:rsidR="00CA58E8" w:rsidRPr="00C074D2" w:rsidRDefault="00CA58E8" w:rsidP="00C074D2">
            <w:pPr>
              <w:spacing w:after="0" w:line="240" w:lineRule="auto"/>
              <w:rPr>
                <w:rFonts w:ascii="Calibri" w:eastAsia="Times New Roman" w:hAnsi="Calibri" w:cs="Times New Roman"/>
                <w:color w:val="000000"/>
              </w:rPr>
            </w:pPr>
          </w:p>
        </w:tc>
        <w:tc>
          <w:tcPr>
            <w:tcW w:w="1008" w:type="dxa"/>
            <w:shd w:val="clear" w:color="auto" w:fill="595959" w:themeFill="text1" w:themeFillTint="A6"/>
          </w:tcPr>
          <w:p w14:paraId="4E38A208" w14:textId="77777777" w:rsidR="00CA58E8" w:rsidRPr="00C074D2" w:rsidRDefault="00CA58E8" w:rsidP="00C074D2">
            <w:pPr>
              <w:spacing w:after="0" w:line="240" w:lineRule="auto"/>
              <w:rPr>
                <w:rFonts w:ascii="Calibri" w:eastAsia="Times New Roman" w:hAnsi="Calibri" w:cs="Times New Roman"/>
                <w:color w:val="000000"/>
              </w:rPr>
            </w:pPr>
          </w:p>
        </w:tc>
      </w:tr>
      <w:tr w:rsidR="00CA58E8" w:rsidRPr="00C074D2" w14:paraId="62C3F805" w14:textId="77777777" w:rsidTr="0084461F">
        <w:trPr>
          <w:trHeight w:val="300"/>
        </w:trPr>
        <w:tc>
          <w:tcPr>
            <w:tcW w:w="960" w:type="dxa"/>
            <w:shd w:val="clear" w:color="auto" w:fill="auto"/>
            <w:noWrap/>
            <w:vAlign w:val="bottom"/>
            <w:hideMark/>
          </w:tcPr>
          <w:p w14:paraId="1D5C3C37" w14:textId="7448359E" w:rsidR="00CA58E8" w:rsidRPr="00E22BE1" w:rsidRDefault="00CA58E8" w:rsidP="00C074D2">
            <w:pPr>
              <w:spacing w:after="0" w:line="240" w:lineRule="auto"/>
              <w:rPr>
                <w:rFonts w:ascii="Calibri" w:eastAsia="Times New Roman" w:hAnsi="Calibri" w:cs="Times New Roman"/>
                <w:b/>
                <w:i/>
                <w:iCs/>
                <w:color w:val="000000"/>
              </w:rPr>
            </w:pPr>
            <w:r w:rsidRPr="00E22BE1">
              <w:rPr>
                <w:rFonts w:ascii="Calibri" w:eastAsia="Times New Roman" w:hAnsi="Calibri" w:cs="Times New Roman"/>
                <w:b/>
                <w:i/>
                <w:iCs/>
                <w:color w:val="000000"/>
              </w:rPr>
              <w:t>TB</w:t>
            </w:r>
            <w:r w:rsidR="00E22BE1" w:rsidRPr="00E22BE1">
              <w:rPr>
                <w:b/>
                <w:i/>
                <w:iCs/>
                <w:vertAlign w:val="subscript"/>
              </w:rPr>
              <w:t>MSY</w:t>
            </w:r>
          </w:p>
        </w:tc>
        <w:tc>
          <w:tcPr>
            <w:tcW w:w="3375" w:type="dxa"/>
            <w:gridSpan w:val="2"/>
            <w:shd w:val="clear" w:color="auto" w:fill="auto"/>
            <w:noWrap/>
            <w:vAlign w:val="bottom"/>
            <w:hideMark/>
          </w:tcPr>
          <w:p w14:paraId="767ED56E"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Assessment Value</w:t>
            </w:r>
          </w:p>
        </w:tc>
        <w:tc>
          <w:tcPr>
            <w:tcW w:w="1980" w:type="dxa"/>
            <w:shd w:val="clear" w:color="auto" w:fill="595959" w:themeFill="text1" w:themeFillTint="A6"/>
            <w:noWrap/>
            <w:vAlign w:val="bottom"/>
            <w:hideMark/>
          </w:tcPr>
          <w:p w14:paraId="7ACED9CA" w14:textId="77777777" w:rsidR="00CA58E8" w:rsidRPr="00C074D2" w:rsidRDefault="00CA58E8" w:rsidP="00C074D2">
            <w:pPr>
              <w:spacing w:after="0" w:line="240" w:lineRule="auto"/>
              <w:rPr>
                <w:rFonts w:ascii="Calibri" w:eastAsia="Times New Roman" w:hAnsi="Calibri" w:cs="Times New Roman"/>
                <w:color w:val="000000"/>
              </w:rPr>
            </w:pPr>
          </w:p>
        </w:tc>
        <w:tc>
          <w:tcPr>
            <w:tcW w:w="2160" w:type="dxa"/>
            <w:shd w:val="clear" w:color="auto" w:fill="595959" w:themeFill="text1" w:themeFillTint="A6"/>
            <w:noWrap/>
            <w:vAlign w:val="bottom"/>
            <w:hideMark/>
          </w:tcPr>
          <w:p w14:paraId="6C860BE6" w14:textId="77777777" w:rsidR="00CA58E8" w:rsidRPr="00C074D2" w:rsidRDefault="00CA58E8" w:rsidP="00C074D2">
            <w:pPr>
              <w:spacing w:after="0" w:line="240" w:lineRule="auto"/>
              <w:rPr>
                <w:rFonts w:ascii="Calibri" w:eastAsia="Times New Roman" w:hAnsi="Calibri" w:cs="Times New Roman"/>
                <w:color w:val="000000"/>
              </w:rPr>
            </w:pPr>
          </w:p>
        </w:tc>
        <w:tc>
          <w:tcPr>
            <w:tcW w:w="1008" w:type="dxa"/>
            <w:shd w:val="clear" w:color="auto" w:fill="595959" w:themeFill="text1" w:themeFillTint="A6"/>
          </w:tcPr>
          <w:p w14:paraId="6D835796" w14:textId="77777777" w:rsidR="00CA58E8" w:rsidRPr="00C074D2" w:rsidRDefault="00CA58E8" w:rsidP="00C074D2">
            <w:pPr>
              <w:spacing w:after="0" w:line="240" w:lineRule="auto"/>
              <w:rPr>
                <w:rFonts w:ascii="Calibri" w:eastAsia="Times New Roman" w:hAnsi="Calibri" w:cs="Times New Roman"/>
                <w:color w:val="000000"/>
              </w:rPr>
            </w:pPr>
          </w:p>
        </w:tc>
      </w:tr>
      <w:tr w:rsidR="00CA58E8" w:rsidRPr="00C074D2" w14:paraId="33FF9DE9" w14:textId="77777777" w:rsidTr="0084461F">
        <w:trPr>
          <w:trHeight w:val="300"/>
        </w:trPr>
        <w:tc>
          <w:tcPr>
            <w:tcW w:w="960" w:type="dxa"/>
            <w:shd w:val="clear" w:color="auto" w:fill="auto"/>
            <w:noWrap/>
            <w:vAlign w:val="bottom"/>
            <w:hideMark/>
          </w:tcPr>
          <w:p w14:paraId="130ED2A0" w14:textId="77777777" w:rsidR="00CA58E8" w:rsidRPr="00E22BE1" w:rsidRDefault="00CA58E8" w:rsidP="00C074D2">
            <w:pPr>
              <w:spacing w:after="0" w:line="240" w:lineRule="auto"/>
              <w:rPr>
                <w:rFonts w:ascii="Calibri" w:eastAsia="Times New Roman" w:hAnsi="Calibri" w:cs="Times New Roman"/>
                <w:b/>
                <w:i/>
                <w:iCs/>
                <w:color w:val="000000"/>
              </w:rPr>
            </w:pPr>
            <w:r w:rsidRPr="00E22BE1">
              <w:rPr>
                <w:rFonts w:ascii="Calibri" w:eastAsia="Times New Roman" w:hAnsi="Calibri" w:cs="Times New Roman"/>
                <w:b/>
                <w:i/>
                <w:iCs/>
                <w:color w:val="000000"/>
              </w:rPr>
              <w:t>p</w:t>
            </w:r>
          </w:p>
        </w:tc>
        <w:tc>
          <w:tcPr>
            <w:tcW w:w="1364" w:type="dxa"/>
            <w:shd w:val="clear" w:color="auto" w:fill="auto"/>
            <w:noWrap/>
            <w:vAlign w:val="bottom"/>
            <w:hideMark/>
          </w:tcPr>
          <w:p w14:paraId="3AB312CD"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Schaefer Value</w:t>
            </w:r>
          </w:p>
        </w:tc>
        <w:tc>
          <w:tcPr>
            <w:tcW w:w="2011" w:type="dxa"/>
            <w:shd w:val="clear" w:color="auto" w:fill="auto"/>
            <w:noWrap/>
            <w:vAlign w:val="bottom"/>
            <w:hideMark/>
          </w:tcPr>
          <w:p w14:paraId="02E511AD"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Thorson Taxonomic Value</w:t>
            </w:r>
          </w:p>
        </w:tc>
        <w:tc>
          <w:tcPr>
            <w:tcW w:w="1980" w:type="dxa"/>
            <w:shd w:val="clear" w:color="auto" w:fill="auto"/>
            <w:noWrap/>
            <w:vAlign w:val="bottom"/>
            <w:hideMark/>
          </w:tcPr>
          <w:p w14:paraId="28E3CD1A"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Thorson Pooled Value</w:t>
            </w:r>
          </w:p>
        </w:tc>
        <w:tc>
          <w:tcPr>
            <w:tcW w:w="2160" w:type="dxa"/>
            <w:shd w:val="clear" w:color="auto" w:fill="auto"/>
            <w:noWrap/>
            <w:vAlign w:val="bottom"/>
            <w:hideMark/>
          </w:tcPr>
          <w:p w14:paraId="46401B37"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Empirical Taxonomic Value</w:t>
            </w:r>
          </w:p>
        </w:tc>
        <w:tc>
          <w:tcPr>
            <w:tcW w:w="1008" w:type="dxa"/>
          </w:tcPr>
          <w:p w14:paraId="2460E360" w14:textId="77777777" w:rsidR="00CA58E8" w:rsidRPr="00C074D2" w:rsidRDefault="00CA58E8" w:rsidP="00C074D2">
            <w:pPr>
              <w:spacing w:after="0" w:line="240" w:lineRule="auto"/>
              <w:rPr>
                <w:rFonts w:ascii="Calibri" w:eastAsia="Times New Roman" w:hAnsi="Calibri" w:cs="Times New Roman"/>
                <w:color w:val="000000"/>
              </w:rPr>
            </w:pPr>
            <w:r>
              <w:rPr>
                <w:rFonts w:ascii="Calibri" w:eastAsia="Times New Roman" w:hAnsi="Calibri" w:cs="Times New Roman"/>
                <w:color w:val="000000"/>
              </w:rPr>
              <w:t>Fox Value</w:t>
            </w:r>
          </w:p>
        </w:tc>
      </w:tr>
    </w:tbl>
    <w:p w14:paraId="7059CAC9" w14:textId="77777777" w:rsidR="00C074D2" w:rsidRDefault="00C074D2"/>
    <w:p w14:paraId="3FC56460" w14:textId="77777777" w:rsidR="00C074D2" w:rsidRDefault="00445594">
      <w:r>
        <w:t>Expanded</w:t>
      </w:r>
      <w:r w:rsidR="00E06903">
        <w:t xml:space="preserve"> fixed p values used in the above categories</w:t>
      </w:r>
      <w:r w:rsidR="00B2273E">
        <w:t xml:space="preserve"> are listed below</w:t>
      </w:r>
      <w:r w:rsidR="00E06903">
        <w:t>.</w:t>
      </w:r>
    </w:p>
    <w:p w14:paraId="12A88B53" w14:textId="77777777" w:rsidR="00DA6BA1" w:rsidRDefault="00DA6BA1"/>
    <w:tbl>
      <w:tblPr>
        <w:tblStyle w:val="TableGrid"/>
        <w:tblW w:w="0" w:type="auto"/>
        <w:tblLook w:val="04A0" w:firstRow="1" w:lastRow="0" w:firstColumn="1" w:lastColumn="0" w:noHBand="0" w:noVBand="1"/>
      </w:tblPr>
      <w:tblGrid>
        <w:gridCol w:w="3192"/>
        <w:gridCol w:w="3192"/>
        <w:gridCol w:w="3192"/>
      </w:tblGrid>
      <w:tr w:rsidR="001B6AC7" w14:paraId="6B4F8288" w14:textId="77777777" w:rsidTr="001B6AC7">
        <w:tc>
          <w:tcPr>
            <w:tcW w:w="3192" w:type="dxa"/>
          </w:tcPr>
          <w:p w14:paraId="66F59776" w14:textId="77777777" w:rsidR="001B6AC7" w:rsidRPr="001B6AC7" w:rsidRDefault="001B6AC7" w:rsidP="001B6AC7">
            <w:pPr>
              <w:rPr>
                <w:b/>
              </w:rPr>
            </w:pPr>
            <w:r w:rsidRPr="00E22BE1">
              <w:rPr>
                <w:b/>
                <w:i/>
                <w:iCs/>
              </w:rPr>
              <w:t>p</w:t>
            </w:r>
            <w:r w:rsidRPr="001B6AC7">
              <w:rPr>
                <w:b/>
              </w:rPr>
              <w:t xml:space="preserve"> Parameter Category</w:t>
            </w:r>
          </w:p>
        </w:tc>
        <w:tc>
          <w:tcPr>
            <w:tcW w:w="3192" w:type="dxa"/>
          </w:tcPr>
          <w:p w14:paraId="76C07F6D" w14:textId="77777777" w:rsidR="001B6AC7" w:rsidRPr="001B6AC7" w:rsidRDefault="001B6AC7" w:rsidP="001B6AC7">
            <w:pPr>
              <w:rPr>
                <w:b/>
              </w:rPr>
            </w:pPr>
            <w:r w:rsidRPr="00E22BE1">
              <w:rPr>
                <w:b/>
                <w:i/>
                <w:iCs/>
              </w:rPr>
              <w:t>p</w:t>
            </w:r>
            <w:r w:rsidRPr="001B6AC7">
              <w:rPr>
                <w:b/>
              </w:rPr>
              <w:t xml:space="preserve"> Parameter Subcategory</w:t>
            </w:r>
          </w:p>
        </w:tc>
        <w:tc>
          <w:tcPr>
            <w:tcW w:w="3192" w:type="dxa"/>
          </w:tcPr>
          <w:p w14:paraId="51E57893" w14:textId="77777777" w:rsidR="001B6AC7" w:rsidRPr="001B6AC7" w:rsidRDefault="001B6AC7" w:rsidP="001B6AC7">
            <w:pPr>
              <w:rPr>
                <w:b/>
              </w:rPr>
            </w:pPr>
            <w:r w:rsidRPr="00E22BE1">
              <w:rPr>
                <w:b/>
                <w:i/>
                <w:iCs/>
              </w:rPr>
              <w:t>p</w:t>
            </w:r>
            <w:r w:rsidRPr="001B6AC7">
              <w:rPr>
                <w:b/>
              </w:rPr>
              <w:t xml:space="preserve"> Parameter Value</w:t>
            </w:r>
          </w:p>
        </w:tc>
      </w:tr>
      <w:tr w:rsidR="001B6AC7" w14:paraId="5F3361DA" w14:textId="77777777" w:rsidTr="001B6AC7">
        <w:tc>
          <w:tcPr>
            <w:tcW w:w="3192" w:type="dxa"/>
          </w:tcPr>
          <w:p w14:paraId="644F8128" w14:textId="77777777" w:rsidR="001B6AC7" w:rsidRDefault="001B6AC7">
            <w:r>
              <w:t>Schaefer Value</w:t>
            </w:r>
          </w:p>
        </w:tc>
        <w:tc>
          <w:tcPr>
            <w:tcW w:w="3192" w:type="dxa"/>
          </w:tcPr>
          <w:p w14:paraId="591ACF25" w14:textId="77777777" w:rsidR="001B6AC7" w:rsidRDefault="001B6AC7">
            <w:r>
              <w:t>N/A</w:t>
            </w:r>
          </w:p>
        </w:tc>
        <w:tc>
          <w:tcPr>
            <w:tcW w:w="3192" w:type="dxa"/>
          </w:tcPr>
          <w:p w14:paraId="7489A2B1" w14:textId="77777777" w:rsidR="001B6AC7" w:rsidRDefault="001B6AC7">
            <w:r>
              <w:t>2.000</w:t>
            </w:r>
          </w:p>
        </w:tc>
      </w:tr>
      <w:tr w:rsidR="001B6AC7" w14:paraId="685573DB" w14:textId="77777777" w:rsidTr="001B6AC7">
        <w:tc>
          <w:tcPr>
            <w:tcW w:w="3192" w:type="dxa"/>
          </w:tcPr>
          <w:p w14:paraId="513DC448" w14:textId="77777777" w:rsidR="001B6AC7" w:rsidRDefault="001B6AC7">
            <w:r>
              <w:t>Thorson Taxonomic Value</w:t>
            </w:r>
          </w:p>
        </w:tc>
        <w:tc>
          <w:tcPr>
            <w:tcW w:w="3192" w:type="dxa"/>
          </w:tcPr>
          <w:p w14:paraId="499FE110" w14:textId="77777777" w:rsidR="001B6AC7" w:rsidRDefault="001B6AC7">
            <w:proofErr w:type="spellStart"/>
            <w:r w:rsidRPr="001B6AC7">
              <w:t>Pleuronectiformes</w:t>
            </w:r>
            <w:proofErr w:type="spellEnd"/>
          </w:p>
        </w:tc>
        <w:tc>
          <w:tcPr>
            <w:tcW w:w="3192" w:type="dxa"/>
          </w:tcPr>
          <w:p w14:paraId="1589F3AA" w14:textId="77777777" w:rsidR="001B6AC7" w:rsidRDefault="001B6AC7">
            <w:r w:rsidRPr="001B6AC7">
              <w:t>1.406</w:t>
            </w:r>
          </w:p>
        </w:tc>
      </w:tr>
      <w:tr w:rsidR="001B6AC7" w14:paraId="543822D6" w14:textId="77777777" w:rsidTr="001B6AC7">
        <w:tc>
          <w:tcPr>
            <w:tcW w:w="3192" w:type="dxa"/>
          </w:tcPr>
          <w:p w14:paraId="314A941E" w14:textId="77777777" w:rsidR="001B6AC7" w:rsidRDefault="001B6AC7">
            <w:r>
              <w:t>Thorson Taxonomic Value</w:t>
            </w:r>
          </w:p>
        </w:tc>
        <w:tc>
          <w:tcPr>
            <w:tcW w:w="3192" w:type="dxa"/>
          </w:tcPr>
          <w:p w14:paraId="15210A88" w14:textId="77777777" w:rsidR="001B6AC7" w:rsidRDefault="001B6AC7">
            <w:proofErr w:type="spellStart"/>
            <w:r w:rsidRPr="001B6AC7">
              <w:t>Gadiformes</w:t>
            </w:r>
            <w:proofErr w:type="spellEnd"/>
          </w:p>
        </w:tc>
        <w:tc>
          <w:tcPr>
            <w:tcW w:w="3192" w:type="dxa"/>
          </w:tcPr>
          <w:p w14:paraId="2F9DCFC2" w14:textId="77777777" w:rsidR="001B6AC7" w:rsidRDefault="001B6AC7">
            <w:r w:rsidRPr="001B6AC7">
              <w:t>2.027</w:t>
            </w:r>
          </w:p>
        </w:tc>
      </w:tr>
      <w:tr w:rsidR="001B6AC7" w14:paraId="58E7012B" w14:textId="77777777" w:rsidTr="001B6AC7">
        <w:tc>
          <w:tcPr>
            <w:tcW w:w="3192" w:type="dxa"/>
          </w:tcPr>
          <w:p w14:paraId="089D5206" w14:textId="77777777" w:rsidR="001B6AC7" w:rsidRDefault="001B6AC7">
            <w:r>
              <w:lastRenderedPageBreak/>
              <w:t>Thorson Taxonomic Value</w:t>
            </w:r>
          </w:p>
        </w:tc>
        <w:tc>
          <w:tcPr>
            <w:tcW w:w="3192" w:type="dxa"/>
          </w:tcPr>
          <w:p w14:paraId="16606156" w14:textId="77777777" w:rsidR="001B6AC7" w:rsidRDefault="001B6AC7">
            <w:r w:rsidRPr="001B6AC7">
              <w:t>Perciformes</w:t>
            </w:r>
          </w:p>
        </w:tc>
        <w:tc>
          <w:tcPr>
            <w:tcW w:w="3192" w:type="dxa"/>
          </w:tcPr>
          <w:p w14:paraId="0A82D9B7" w14:textId="77777777" w:rsidR="001B6AC7" w:rsidRDefault="001B6AC7">
            <w:r w:rsidRPr="001B6AC7">
              <w:t>0.799</w:t>
            </w:r>
          </w:p>
        </w:tc>
      </w:tr>
      <w:tr w:rsidR="001B6AC7" w14:paraId="6AF9FEDD" w14:textId="77777777" w:rsidTr="001B6AC7">
        <w:tc>
          <w:tcPr>
            <w:tcW w:w="3192" w:type="dxa"/>
          </w:tcPr>
          <w:p w14:paraId="3124B799" w14:textId="77777777" w:rsidR="001B6AC7" w:rsidRDefault="001B6AC7">
            <w:r>
              <w:t>Thorson Taxonomic Value</w:t>
            </w:r>
          </w:p>
        </w:tc>
        <w:tc>
          <w:tcPr>
            <w:tcW w:w="3192" w:type="dxa"/>
          </w:tcPr>
          <w:p w14:paraId="68A42E6A" w14:textId="77777777" w:rsidR="001B6AC7" w:rsidRDefault="001B6AC7">
            <w:proofErr w:type="spellStart"/>
            <w:r w:rsidRPr="001B6AC7">
              <w:t>Clupeiformes</w:t>
            </w:r>
            <w:proofErr w:type="spellEnd"/>
          </w:p>
        </w:tc>
        <w:tc>
          <w:tcPr>
            <w:tcW w:w="3192" w:type="dxa"/>
          </w:tcPr>
          <w:p w14:paraId="7D957D6F" w14:textId="77777777" w:rsidR="001B6AC7" w:rsidRPr="001B6AC7" w:rsidRDefault="001B6AC7">
            <w:pPr>
              <w:rPr>
                <w:rFonts w:ascii="Calibri" w:hAnsi="Calibri"/>
                <w:color w:val="000000"/>
              </w:rPr>
            </w:pPr>
            <w:r>
              <w:rPr>
                <w:rFonts w:ascii="Calibri" w:hAnsi="Calibri"/>
                <w:color w:val="000000"/>
              </w:rPr>
              <w:t>1.427</w:t>
            </w:r>
          </w:p>
        </w:tc>
      </w:tr>
      <w:tr w:rsidR="001B6AC7" w14:paraId="022BE5DA" w14:textId="77777777" w:rsidTr="001B6AC7">
        <w:tc>
          <w:tcPr>
            <w:tcW w:w="3192" w:type="dxa"/>
          </w:tcPr>
          <w:p w14:paraId="13B341B9" w14:textId="77777777" w:rsidR="001B6AC7" w:rsidRDefault="001B6AC7">
            <w:r>
              <w:t>Thorson Taxonomic Value</w:t>
            </w:r>
          </w:p>
        </w:tc>
        <w:tc>
          <w:tcPr>
            <w:tcW w:w="3192" w:type="dxa"/>
          </w:tcPr>
          <w:p w14:paraId="5EED1D2A" w14:textId="77777777" w:rsidR="001B6AC7" w:rsidRDefault="001B6AC7">
            <w:proofErr w:type="spellStart"/>
            <w:r w:rsidRPr="001B6AC7">
              <w:t>Scorpaeniformes</w:t>
            </w:r>
            <w:proofErr w:type="spellEnd"/>
          </w:p>
        </w:tc>
        <w:tc>
          <w:tcPr>
            <w:tcW w:w="3192" w:type="dxa"/>
          </w:tcPr>
          <w:p w14:paraId="4984AE9F" w14:textId="77777777" w:rsidR="001B6AC7" w:rsidRPr="001B6AC7" w:rsidRDefault="001B6AC7">
            <w:pPr>
              <w:rPr>
                <w:rFonts w:ascii="Calibri" w:hAnsi="Calibri"/>
                <w:color w:val="000000"/>
              </w:rPr>
            </w:pPr>
            <w:r>
              <w:rPr>
                <w:rFonts w:ascii="Calibri" w:hAnsi="Calibri"/>
                <w:color w:val="000000"/>
              </w:rPr>
              <w:t>3.377</w:t>
            </w:r>
          </w:p>
        </w:tc>
      </w:tr>
      <w:tr w:rsidR="001B6AC7" w14:paraId="0947CACB" w14:textId="77777777" w:rsidTr="001B6AC7">
        <w:tc>
          <w:tcPr>
            <w:tcW w:w="3192" w:type="dxa"/>
          </w:tcPr>
          <w:p w14:paraId="691D98BC" w14:textId="77777777" w:rsidR="001B6AC7" w:rsidRDefault="001B6AC7">
            <w:r>
              <w:t>Thorson Taxonomic Value</w:t>
            </w:r>
          </w:p>
        </w:tc>
        <w:tc>
          <w:tcPr>
            <w:tcW w:w="3192" w:type="dxa"/>
          </w:tcPr>
          <w:p w14:paraId="2F795B83" w14:textId="77777777" w:rsidR="001B6AC7" w:rsidRDefault="001B6AC7">
            <w:r w:rsidRPr="001B6AC7">
              <w:t>Other</w:t>
            </w:r>
          </w:p>
        </w:tc>
        <w:tc>
          <w:tcPr>
            <w:tcW w:w="3192" w:type="dxa"/>
          </w:tcPr>
          <w:p w14:paraId="5DB87AB1" w14:textId="77777777" w:rsidR="001B6AC7" w:rsidRPr="001B6AC7" w:rsidRDefault="001B6AC7">
            <w:pPr>
              <w:rPr>
                <w:rFonts w:ascii="Calibri" w:hAnsi="Calibri"/>
                <w:color w:val="000000"/>
              </w:rPr>
            </w:pPr>
            <w:r>
              <w:rPr>
                <w:rFonts w:ascii="Calibri" w:hAnsi="Calibri"/>
                <w:color w:val="000000"/>
              </w:rPr>
              <w:t>1.026</w:t>
            </w:r>
          </w:p>
        </w:tc>
      </w:tr>
      <w:tr w:rsidR="001B6AC7" w14:paraId="47BE027D" w14:textId="77777777" w:rsidTr="001B6AC7">
        <w:tc>
          <w:tcPr>
            <w:tcW w:w="3192" w:type="dxa"/>
          </w:tcPr>
          <w:p w14:paraId="223B9634" w14:textId="77777777" w:rsidR="001B6AC7" w:rsidRDefault="001B6AC7">
            <w:r w:rsidRPr="00C074D2">
              <w:rPr>
                <w:rFonts w:ascii="Calibri" w:eastAsia="Times New Roman" w:hAnsi="Calibri" w:cs="Times New Roman"/>
                <w:color w:val="000000"/>
              </w:rPr>
              <w:t>Thorson Pooled Value</w:t>
            </w:r>
          </w:p>
        </w:tc>
        <w:tc>
          <w:tcPr>
            <w:tcW w:w="3192" w:type="dxa"/>
          </w:tcPr>
          <w:p w14:paraId="62FE152A" w14:textId="77777777" w:rsidR="001B6AC7" w:rsidRDefault="001B6AC7">
            <w:r>
              <w:t>N/A</w:t>
            </w:r>
          </w:p>
        </w:tc>
        <w:tc>
          <w:tcPr>
            <w:tcW w:w="3192" w:type="dxa"/>
          </w:tcPr>
          <w:p w14:paraId="487EE903" w14:textId="77777777" w:rsidR="001B6AC7" w:rsidRDefault="001B6AC7">
            <w:r w:rsidRPr="001B6AC7">
              <w:t>1.736</w:t>
            </w:r>
          </w:p>
        </w:tc>
      </w:tr>
      <w:tr w:rsidR="001B6AC7" w14:paraId="5C57808D" w14:textId="77777777" w:rsidTr="00355695">
        <w:tc>
          <w:tcPr>
            <w:tcW w:w="3192" w:type="dxa"/>
          </w:tcPr>
          <w:p w14:paraId="5F724C8D"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EEFA094" w14:textId="77777777" w:rsidR="001B6AC7" w:rsidRDefault="00A94DC2">
            <w:pPr>
              <w:rPr>
                <w:rFonts w:ascii="Calibri" w:hAnsi="Calibri"/>
                <w:color w:val="000000"/>
              </w:rPr>
            </w:pPr>
            <w:r>
              <w:rPr>
                <w:rFonts w:ascii="Calibri" w:hAnsi="Calibri"/>
                <w:color w:val="000000"/>
              </w:rPr>
              <w:t>B</w:t>
            </w:r>
            <w:r w:rsidR="001B6AC7">
              <w:rPr>
                <w:rFonts w:ascii="Calibri" w:hAnsi="Calibri"/>
                <w:color w:val="000000"/>
              </w:rPr>
              <w:t>ivalves-gastropods</w:t>
            </w:r>
          </w:p>
        </w:tc>
        <w:tc>
          <w:tcPr>
            <w:tcW w:w="3192" w:type="dxa"/>
            <w:vAlign w:val="bottom"/>
          </w:tcPr>
          <w:p w14:paraId="09F02210" w14:textId="57D5D945" w:rsidR="001B6AC7" w:rsidRDefault="000C7C31" w:rsidP="00707C6C">
            <w:pPr>
              <w:rPr>
                <w:rFonts w:ascii="Calibri" w:hAnsi="Calibri"/>
                <w:color w:val="000000"/>
              </w:rPr>
            </w:pPr>
            <w:r w:rsidRPr="000C7C31">
              <w:rPr>
                <w:rFonts w:ascii="Calibri" w:hAnsi="Calibri"/>
                <w:color w:val="000000"/>
              </w:rPr>
              <w:t>1.153</w:t>
            </w:r>
          </w:p>
        </w:tc>
      </w:tr>
      <w:tr w:rsidR="001B6AC7" w14:paraId="46911C6D" w14:textId="77777777" w:rsidTr="00355695">
        <w:tc>
          <w:tcPr>
            <w:tcW w:w="3192" w:type="dxa"/>
          </w:tcPr>
          <w:p w14:paraId="23EB78AA"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1B80EAA0" w14:textId="77777777" w:rsidR="001B6AC7" w:rsidRDefault="00A94DC2">
            <w:pPr>
              <w:rPr>
                <w:rFonts w:ascii="Calibri" w:hAnsi="Calibri"/>
                <w:color w:val="000000"/>
              </w:rPr>
            </w:pPr>
            <w:r>
              <w:rPr>
                <w:rFonts w:ascii="Calibri" w:hAnsi="Calibri"/>
                <w:color w:val="000000"/>
              </w:rPr>
              <w:t>C</w:t>
            </w:r>
            <w:r w:rsidR="001B6AC7">
              <w:rPr>
                <w:rFonts w:ascii="Calibri" w:hAnsi="Calibri"/>
                <w:color w:val="000000"/>
              </w:rPr>
              <w:t>arangids-mackerels</w:t>
            </w:r>
          </w:p>
        </w:tc>
        <w:tc>
          <w:tcPr>
            <w:tcW w:w="3192" w:type="dxa"/>
            <w:vAlign w:val="bottom"/>
          </w:tcPr>
          <w:p w14:paraId="3BB5BFF0" w14:textId="565679CD" w:rsidR="001B6AC7" w:rsidRPr="00B5591D" w:rsidRDefault="000C7C31" w:rsidP="00707C6C">
            <w:pPr>
              <w:rPr>
                <w:rFonts w:ascii="Calibri" w:hAnsi="Calibri" w:cs="Calibri"/>
                <w:color w:val="000000"/>
              </w:rPr>
            </w:pPr>
            <w:r w:rsidRPr="000C7C31">
              <w:rPr>
                <w:rFonts w:ascii="Calibri" w:hAnsi="Calibri" w:cs="Calibri"/>
                <w:color w:val="000000"/>
              </w:rPr>
              <w:t>2.224</w:t>
            </w:r>
          </w:p>
        </w:tc>
      </w:tr>
      <w:tr w:rsidR="001B6AC7" w14:paraId="2D45982E" w14:textId="77777777" w:rsidTr="00355695">
        <w:tc>
          <w:tcPr>
            <w:tcW w:w="3192" w:type="dxa"/>
          </w:tcPr>
          <w:p w14:paraId="47FC4AF4"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4D445D0" w14:textId="77777777" w:rsidR="001B6AC7" w:rsidRDefault="001B6AC7">
            <w:pPr>
              <w:rPr>
                <w:rFonts w:ascii="Calibri" w:hAnsi="Calibri"/>
                <w:color w:val="000000"/>
              </w:rPr>
            </w:pPr>
            <w:r>
              <w:rPr>
                <w:rFonts w:ascii="Calibri" w:hAnsi="Calibri"/>
                <w:color w:val="000000"/>
              </w:rPr>
              <w:t>Cephalopods</w:t>
            </w:r>
          </w:p>
        </w:tc>
        <w:tc>
          <w:tcPr>
            <w:tcW w:w="3192" w:type="dxa"/>
            <w:vAlign w:val="bottom"/>
          </w:tcPr>
          <w:p w14:paraId="4E8707DD" w14:textId="405900A5" w:rsidR="001B6AC7" w:rsidRPr="00B5591D" w:rsidRDefault="000C7C31" w:rsidP="001B6AC7">
            <w:pPr>
              <w:rPr>
                <w:rFonts w:ascii="Calibri" w:hAnsi="Calibri" w:cs="Calibri"/>
                <w:color w:val="000000"/>
              </w:rPr>
            </w:pPr>
            <w:r w:rsidRPr="000C7C31">
              <w:rPr>
                <w:rFonts w:ascii="Calibri" w:hAnsi="Calibri" w:cs="Calibri"/>
                <w:color w:val="000000"/>
              </w:rPr>
              <w:t>0.959</w:t>
            </w:r>
          </w:p>
        </w:tc>
      </w:tr>
      <w:tr w:rsidR="001B6AC7" w14:paraId="4862A283" w14:textId="77777777" w:rsidTr="00355695">
        <w:tc>
          <w:tcPr>
            <w:tcW w:w="3192" w:type="dxa"/>
          </w:tcPr>
          <w:p w14:paraId="61EBEFF4"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3615C47" w14:textId="77777777" w:rsidR="001B6AC7" w:rsidRDefault="00A94DC2">
            <w:pPr>
              <w:rPr>
                <w:rFonts w:ascii="Calibri" w:hAnsi="Calibri"/>
                <w:color w:val="000000"/>
              </w:rPr>
            </w:pPr>
            <w:r>
              <w:rPr>
                <w:rFonts w:ascii="Calibri" w:hAnsi="Calibri"/>
                <w:color w:val="000000"/>
              </w:rPr>
              <w:t>C</w:t>
            </w:r>
            <w:r w:rsidR="001B6AC7">
              <w:rPr>
                <w:rFonts w:ascii="Calibri" w:hAnsi="Calibri"/>
                <w:color w:val="000000"/>
              </w:rPr>
              <w:t>rabs-lobsters</w:t>
            </w:r>
          </w:p>
        </w:tc>
        <w:tc>
          <w:tcPr>
            <w:tcW w:w="3192" w:type="dxa"/>
            <w:vAlign w:val="bottom"/>
          </w:tcPr>
          <w:p w14:paraId="391DD434" w14:textId="0F9CC485" w:rsidR="001B6AC7" w:rsidRPr="00B5591D" w:rsidRDefault="000C7C31" w:rsidP="00707C6C">
            <w:pPr>
              <w:rPr>
                <w:rFonts w:ascii="Calibri" w:hAnsi="Calibri" w:cs="Calibri"/>
                <w:color w:val="000000"/>
              </w:rPr>
            </w:pPr>
            <w:r w:rsidRPr="000C7C31">
              <w:rPr>
                <w:rFonts w:ascii="Calibri" w:hAnsi="Calibri" w:cs="Calibri"/>
                <w:color w:val="000000"/>
              </w:rPr>
              <w:t>0.799</w:t>
            </w:r>
          </w:p>
        </w:tc>
      </w:tr>
      <w:tr w:rsidR="001B6AC7" w14:paraId="417D78BD" w14:textId="77777777" w:rsidTr="00355695">
        <w:tc>
          <w:tcPr>
            <w:tcW w:w="3192" w:type="dxa"/>
          </w:tcPr>
          <w:p w14:paraId="0B014A58"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4B8DC1C6" w14:textId="77777777" w:rsidR="001B6AC7" w:rsidRDefault="001B6AC7">
            <w:pPr>
              <w:rPr>
                <w:rFonts w:ascii="Calibri" w:hAnsi="Calibri"/>
                <w:color w:val="000000"/>
              </w:rPr>
            </w:pPr>
            <w:r>
              <w:rPr>
                <w:rFonts w:ascii="Calibri" w:hAnsi="Calibri"/>
                <w:color w:val="000000"/>
              </w:rPr>
              <w:t>Echinoderms</w:t>
            </w:r>
          </w:p>
        </w:tc>
        <w:tc>
          <w:tcPr>
            <w:tcW w:w="3192" w:type="dxa"/>
            <w:vAlign w:val="bottom"/>
          </w:tcPr>
          <w:p w14:paraId="184F9E6D" w14:textId="21132152" w:rsidR="001B6AC7" w:rsidRPr="00B5591D" w:rsidRDefault="000C7C31" w:rsidP="00707C6C">
            <w:pPr>
              <w:rPr>
                <w:rFonts w:ascii="Calibri" w:hAnsi="Calibri" w:cs="Calibri"/>
                <w:color w:val="000000"/>
              </w:rPr>
            </w:pPr>
            <w:r w:rsidRPr="000C7C31">
              <w:rPr>
                <w:rFonts w:ascii="Calibri" w:hAnsi="Calibri" w:cs="Calibri"/>
                <w:color w:val="000000"/>
              </w:rPr>
              <w:t>1.153</w:t>
            </w:r>
          </w:p>
        </w:tc>
      </w:tr>
      <w:tr w:rsidR="00A94DC2" w14:paraId="1A5928D0" w14:textId="77777777" w:rsidTr="00355695">
        <w:tc>
          <w:tcPr>
            <w:tcW w:w="3192" w:type="dxa"/>
          </w:tcPr>
          <w:p w14:paraId="058DCCE5" w14:textId="77777777" w:rsidR="00A94DC2" w:rsidRPr="00C074D2" w:rsidRDefault="00A94DC2">
            <w:pPr>
              <w:rPr>
                <w:rFonts w:ascii="Calibri" w:eastAsia="Times New Roman" w:hAnsi="Calibri" w:cs="Times New Roman"/>
                <w:color w:val="000000"/>
              </w:rPr>
            </w:pPr>
            <w:r w:rsidRPr="00C074D2">
              <w:rPr>
                <w:rFonts w:ascii="Calibri" w:eastAsia="Times New Roman" w:hAnsi="Calibri" w:cs="Times New Roman"/>
                <w:color w:val="000000"/>
              </w:rPr>
              <w:t>Empirical Taxonomic Value</w:t>
            </w:r>
          </w:p>
        </w:tc>
        <w:tc>
          <w:tcPr>
            <w:tcW w:w="3192" w:type="dxa"/>
            <w:vAlign w:val="bottom"/>
          </w:tcPr>
          <w:p w14:paraId="2BFA25B0" w14:textId="77777777" w:rsidR="00A94DC2" w:rsidRDefault="00A94DC2">
            <w:pPr>
              <w:rPr>
                <w:rFonts w:ascii="Calibri" w:hAnsi="Calibri"/>
                <w:color w:val="000000"/>
              </w:rPr>
            </w:pPr>
            <w:r>
              <w:rPr>
                <w:rFonts w:ascii="Calibri" w:hAnsi="Calibri"/>
                <w:color w:val="000000"/>
              </w:rPr>
              <w:t>Eels</w:t>
            </w:r>
          </w:p>
        </w:tc>
        <w:tc>
          <w:tcPr>
            <w:tcW w:w="3192" w:type="dxa"/>
            <w:vAlign w:val="bottom"/>
          </w:tcPr>
          <w:p w14:paraId="3684A921" w14:textId="29F444E4" w:rsidR="00A94DC2" w:rsidRPr="00B5591D" w:rsidRDefault="000C7C31" w:rsidP="001B6AC7">
            <w:pPr>
              <w:rPr>
                <w:rFonts w:ascii="Calibri" w:hAnsi="Calibri" w:cs="Calibri"/>
                <w:color w:val="000000"/>
              </w:rPr>
            </w:pPr>
            <w:r w:rsidRPr="000C7C31">
              <w:rPr>
                <w:rFonts w:ascii="Calibri" w:hAnsi="Calibri" w:cs="Calibri"/>
                <w:color w:val="000000"/>
              </w:rPr>
              <w:t>1.00</w:t>
            </w:r>
          </w:p>
        </w:tc>
      </w:tr>
      <w:tr w:rsidR="001B6AC7" w14:paraId="2510734C" w14:textId="77777777" w:rsidTr="00355695">
        <w:tc>
          <w:tcPr>
            <w:tcW w:w="3192" w:type="dxa"/>
          </w:tcPr>
          <w:p w14:paraId="697F7486"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59A62506" w14:textId="77777777" w:rsidR="001B6AC7" w:rsidRDefault="00A94DC2">
            <w:pPr>
              <w:rPr>
                <w:rFonts w:ascii="Calibri" w:hAnsi="Calibri"/>
                <w:color w:val="000000"/>
              </w:rPr>
            </w:pPr>
            <w:r>
              <w:rPr>
                <w:rFonts w:ascii="Calibri" w:hAnsi="Calibri"/>
                <w:color w:val="000000"/>
              </w:rPr>
              <w:t>E</w:t>
            </w:r>
            <w:r w:rsidR="001B6AC7">
              <w:rPr>
                <w:rFonts w:ascii="Calibri" w:hAnsi="Calibri"/>
                <w:color w:val="000000"/>
              </w:rPr>
              <w:t>lasmobranchs</w:t>
            </w:r>
          </w:p>
        </w:tc>
        <w:tc>
          <w:tcPr>
            <w:tcW w:w="3192" w:type="dxa"/>
            <w:vAlign w:val="bottom"/>
          </w:tcPr>
          <w:p w14:paraId="55E74A0B" w14:textId="4AE38E6F" w:rsidR="001B6AC7" w:rsidRPr="00B5591D" w:rsidRDefault="000C7C31" w:rsidP="001B6AC7">
            <w:pPr>
              <w:rPr>
                <w:rFonts w:ascii="Calibri" w:hAnsi="Calibri" w:cs="Calibri"/>
                <w:color w:val="000000"/>
              </w:rPr>
            </w:pPr>
            <w:r w:rsidRPr="000C7C31">
              <w:rPr>
                <w:rFonts w:ascii="Calibri" w:hAnsi="Calibri" w:cs="Calibri"/>
                <w:color w:val="000000"/>
              </w:rPr>
              <w:t>0.750</w:t>
            </w:r>
          </w:p>
        </w:tc>
      </w:tr>
      <w:tr w:rsidR="001B6AC7" w14:paraId="38356463" w14:textId="77777777" w:rsidTr="00355695">
        <w:tc>
          <w:tcPr>
            <w:tcW w:w="3192" w:type="dxa"/>
          </w:tcPr>
          <w:p w14:paraId="0323E249"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12ACBC6D" w14:textId="77777777" w:rsidR="001B6AC7" w:rsidRDefault="00A94DC2">
            <w:pPr>
              <w:rPr>
                <w:rFonts w:ascii="Calibri" w:hAnsi="Calibri"/>
                <w:color w:val="000000"/>
              </w:rPr>
            </w:pPr>
            <w:r>
              <w:rPr>
                <w:rFonts w:ascii="Calibri" w:hAnsi="Calibri"/>
                <w:color w:val="000000"/>
              </w:rPr>
              <w:t>F</w:t>
            </w:r>
            <w:r w:rsidR="001B6AC7">
              <w:rPr>
                <w:rFonts w:ascii="Calibri" w:hAnsi="Calibri"/>
                <w:color w:val="000000"/>
              </w:rPr>
              <w:t>orage fish</w:t>
            </w:r>
          </w:p>
        </w:tc>
        <w:tc>
          <w:tcPr>
            <w:tcW w:w="3192" w:type="dxa"/>
            <w:vAlign w:val="bottom"/>
          </w:tcPr>
          <w:p w14:paraId="07C55408" w14:textId="77852270" w:rsidR="001B6AC7" w:rsidRPr="00B5591D" w:rsidRDefault="000C7C31" w:rsidP="00707C6C">
            <w:pPr>
              <w:rPr>
                <w:rFonts w:ascii="Calibri" w:hAnsi="Calibri" w:cs="Calibri"/>
                <w:color w:val="000000"/>
              </w:rPr>
            </w:pPr>
            <w:r w:rsidRPr="000C7C31">
              <w:rPr>
                <w:rFonts w:ascii="Calibri" w:hAnsi="Calibri" w:cs="Calibri"/>
                <w:color w:val="000000"/>
              </w:rPr>
              <w:t>1.369</w:t>
            </w:r>
          </w:p>
        </w:tc>
      </w:tr>
      <w:tr w:rsidR="001B6AC7" w14:paraId="1CBD290F" w14:textId="77777777" w:rsidTr="00355695">
        <w:tc>
          <w:tcPr>
            <w:tcW w:w="3192" w:type="dxa"/>
          </w:tcPr>
          <w:p w14:paraId="73590D9E"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A6C5691" w14:textId="77777777" w:rsidR="001B6AC7" w:rsidRDefault="001B6AC7">
            <w:pPr>
              <w:rPr>
                <w:rFonts w:ascii="Calibri" w:hAnsi="Calibri"/>
                <w:color w:val="000000"/>
              </w:rPr>
            </w:pPr>
            <w:r>
              <w:rPr>
                <w:rFonts w:ascii="Calibri" w:hAnsi="Calibri"/>
                <w:color w:val="000000"/>
              </w:rPr>
              <w:t>Gadids</w:t>
            </w:r>
          </w:p>
        </w:tc>
        <w:tc>
          <w:tcPr>
            <w:tcW w:w="3192" w:type="dxa"/>
            <w:vAlign w:val="bottom"/>
          </w:tcPr>
          <w:p w14:paraId="6941CF5E" w14:textId="2AFEFBFB" w:rsidR="001B6AC7" w:rsidRPr="00B5591D" w:rsidRDefault="000C7C31" w:rsidP="00707C6C">
            <w:pPr>
              <w:rPr>
                <w:rFonts w:ascii="Calibri" w:hAnsi="Calibri" w:cs="Calibri"/>
                <w:color w:val="000000"/>
              </w:rPr>
            </w:pPr>
            <w:r w:rsidRPr="000C7C31">
              <w:rPr>
                <w:rFonts w:ascii="Calibri" w:hAnsi="Calibri" w:cs="Calibri"/>
                <w:color w:val="000000"/>
              </w:rPr>
              <w:t>0.975</w:t>
            </w:r>
          </w:p>
        </w:tc>
      </w:tr>
      <w:tr w:rsidR="00707C6C" w14:paraId="5ED5CF36" w14:textId="77777777" w:rsidTr="00355695">
        <w:tc>
          <w:tcPr>
            <w:tcW w:w="3192" w:type="dxa"/>
          </w:tcPr>
          <w:p w14:paraId="1FDCEB1C" w14:textId="77777777" w:rsidR="00707C6C" w:rsidRPr="00C074D2" w:rsidRDefault="00707C6C">
            <w:pPr>
              <w:rPr>
                <w:rFonts w:ascii="Calibri" w:eastAsia="Times New Roman" w:hAnsi="Calibri" w:cs="Times New Roman"/>
                <w:color w:val="000000"/>
              </w:rPr>
            </w:pPr>
            <w:r w:rsidRPr="00C074D2">
              <w:rPr>
                <w:rFonts w:ascii="Calibri" w:eastAsia="Times New Roman" w:hAnsi="Calibri" w:cs="Times New Roman"/>
                <w:color w:val="000000"/>
              </w:rPr>
              <w:t>Empirical Taxonomic Value</w:t>
            </w:r>
          </w:p>
        </w:tc>
        <w:tc>
          <w:tcPr>
            <w:tcW w:w="3192" w:type="dxa"/>
            <w:vAlign w:val="bottom"/>
          </w:tcPr>
          <w:p w14:paraId="79344FA9" w14:textId="77777777" w:rsidR="00707C6C" w:rsidRDefault="00707C6C" w:rsidP="00A94DC2">
            <w:pPr>
              <w:rPr>
                <w:rFonts w:ascii="Calibri" w:hAnsi="Calibri"/>
                <w:color w:val="000000"/>
              </w:rPr>
            </w:pPr>
            <w:r>
              <w:rPr>
                <w:rFonts w:ascii="Calibri" w:hAnsi="Calibri"/>
                <w:color w:val="000000"/>
              </w:rPr>
              <w:t xml:space="preserve">Other </w:t>
            </w:r>
            <w:r w:rsidR="00A94DC2">
              <w:rPr>
                <w:rFonts w:ascii="Calibri" w:hAnsi="Calibri"/>
                <w:color w:val="000000"/>
              </w:rPr>
              <w:t>marine fish</w:t>
            </w:r>
          </w:p>
        </w:tc>
        <w:tc>
          <w:tcPr>
            <w:tcW w:w="3192" w:type="dxa"/>
            <w:vAlign w:val="bottom"/>
          </w:tcPr>
          <w:p w14:paraId="66E0F2F7" w14:textId="1D4507B1" w:rsidR="00707C6C" w:rsidRPr="00B5591D" w:rsidRDefault="000C7C31" w:rsidP="001B6AC7">
            <w:pPr>
              <w:rPr>
                <w:rFonts w:ascii="Calibri" w:hAnsi="Calibri" w:cs="Calibri"/>
                <w:color w:val="000000"/>
              </w:rPr>
            </w:pPr>
            <w:r w:rsidRPr="000C7C31">
              <w:rPr>
                <w:rFonts w:ascii="Calibri" w:hAnsi="Calibri" w:cs="Calibri"/>
                <w:color w:val="000000"/>
              </w:rPr>
              <w:t>1.00</w:t>
            </w:r>
          </w:p>
        </w:tc>
      </w:tr>
      <w:tr w:rsidR="001B6AC7" w14:paraId="1F7DCA88" w14:textId="77777777" w:rsidTr="00355695">
        <w:tc>
          <w:tcPr>
            <w:tcW w:w="3192" w:type="dxa"/>
          </w:tcPr>
          <w:p w14:paraId="4B7B3085"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5001395B" w14:textId="77777777" w:rsidR="001B6AC7" w:rsidRDefault="00A94DC2">
            <w:pPr>
              <w:rPr>
                <w:rFonts w:ascii="Calibri" w:hAnsi="Calibri"/>
                <w:color w:val="000000"/>
              </w:rPr>
            </w:pPr>
            <w:r>
              <w:rPr>
                <w:rFonts w:ascii="Calibri" w:hAnsi="Calibri"/>
                <w:color w:val="000000"/>
              </w:rPr>
              <w:t>O</w:t>
            </w:r>
            <w:r w:rsidR="001B6AC7">
              <w:rPr>
                <w:rFonts w:ascii="Calibri" w:hAnsi="Calibri"/>
                <w:color w:val="000000"/>
              </w:rPr>
              <w:t xml:space="preserve">ther </w:t>
            </w:r>
            <w:r w:rsidRPr="00A94DC2">
              <w:rPr>
                <w:rFonts w:ascii="Calibri" w:hAnsi="Calibri"/>
                <w:color w:val="000000"/>
              </w:rPr>
              <w:t>marine invertebrates</w:t>
            </w:r>
          </w:p>
        </w:tc>
        <w:tc>
          <w:tcPr>
            <w:tcW w:w="3192" w:type="dxa"/>
            <w:vAlign w:val="bottom"/>
          </w:tcPr>
          <w:p w14:paraId="5A022622" w14:textId="47752E85" w:rsidR="001B6AC7" w:rsidRPr="00B5591D" w:rsidRDefault="000C7C31" w:rsidP="001B6AC7">
            <w:pPr>
              <w:rPr>
                <w:rFonts w:ascii="Calibri" w:hAnsi="Calibri" w:cs="Calibri"/>
                <w:color w:val="000000"/>
              </w:rPr>
            </w:pPr>
            <w:r w:rsidRPr="000C7C31">
              <w:rPr>
                <w:rFonts w:ascii="Calibri" w:hAnsi="Calibri" w:cs="Calibri"/>
                <w:color w:val="000000"/>
              </w:rPr>
              <w:t>0.799</w:t>
            </w:r>
          </w:p>
        </w:tc>
      </w:tr>
      <w:tr w:rsidR="001B6AC7" w14:paraId="37A606A0" w14:textId="77777777" w:rsidTr="00355695">
        <w:tc>
          <w:tcPr>
            <w:tcW w:w="3192" w:type="dxa"/>
          </w:tcPr>
          <w:p w14:paraId="37CF97A0"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1F8B542" w14:textId="77777777" w:rsidR="001B6AC7" w:rsidRDefault="00A94DC2">
            <w:pPr>
              <w:rPr>
                <w:rFonts w:ascii="Calibri" w:hAnsi="Calibri"/>
                <w:color w:val="000000"/>
              </w:rPr>
            </w:pPr>
            <w:r>
              <w:rPr>
                <w:rFonts w:ascii="Calibri" w:hAnsi="Calibri"/>
                <w:color w:val="000000"/>
              </w:rPr>
              <w:t>O</w:t>
            </w:r>
            <w:r w:rsidR="00707C6C" w:rsidRPr="00707C6C">
              <w:rPr>
                <w:rFonts w:ascii="Calibri" w:hAnsi="Calibri"/>
                <w:color w:val="000000"/>
              </w:rPr>
              <w:t xml:space="preserve">ther marine </w:t>
            </w:r>
            <w:proofErr w:type="spellStart"/>
            <w:r w:rsidR="00707C6C" w:rsidRPr="00707C6C">
              <w:rPr>
                <w:rFonts w:ascii="Calibri" w:hAnsi="Calibri"/>
                <w:color w:val="000000"/>
              </w:rPr>
              <w:t>percoidids</w:t>
            </w:r>
            <w:proofErr w:type="spellEnd"/>
          </w:p>
        </w:tc>
        <w:tc>
          <w:tcPr>
            <w:tcW w:w="3192" w:type="dxa"/>
            <w:vAlign w:val="bottom"/>
          </w:tcPr>
          <w:p w14:paraId="2D4E808A" w14:textId="639EEE12" w:rsidR="001B6AC7" w:rsidRPr="00B5591D" w:rsidRDefault="000C7C31" w:rsidP="001B6AC7">
            <w:pPr>
              <w:rPr>
                <w:rFonts w:ascii="Calibri" w:hAnsi="Calibri" w:cs="Calibri"/>
                <w:color w:val="000000"/>
              </w:rPr>
            </w:pPr>
            <w:r w:rsidRPr="000C7C31">
              <w:rPr>
                <w:rFonts w:ascii="Calibri" w:hAnsi="Calibri" w:cs="Calibri"/>
                <w:color w:val="000000"/>
              </w:rPr>
              <w:t>1.019</w:t>
            </w:r>
          </w:p>
        </w:tc>
      </w:tr>
      <w:tr w:rsidR="001B6AC7" w14:paraId="3869BB36" w14:textId="77777777" w:rsidTr="00355695">
        <w:tc>
          <w:tcPr>
            <w:tcW w:w="3192" w:type="dxa"/>
          </w:tcPr>
          <w:p w14:paraId="7758EF74"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29E73259" w14:textId="77777777" w:rsidR="001B6AC7" w:rsidRDefault="00A94DC2">
            <w:pPr>
              <w:rPr>
                <w:rFonts w:ascii="Calibri" w:hAnsi="Calibri"/>
                <w:color w:val="000000"/>
              </w:rPr>
            </w:pPr>
            <w:r>
              <w:rPr>
                <w:rFonts w:ascii="Calibri" w:hAnsi="Calibri"/>
                <w:color w:val="000000"/>
              </w:rPr>
              <w:t>O</w:t>
            </w:r>
            <w:r w:rsidR="00707C6C">
              <w:rPr>
                <w:rFonts w:ascii="Calibri" w:hAnsi="Calibri"/>
                <w:color w:val="000000"/>
              </w:rPr>
              <w:t xml:space="preserve">ther </w:t>
            </w:r>
            <w:proofErr w:type="spellStart"/>
            <w:r w:rsidR="00707C6C">
              <w:rPr>
                <w:rFonts w:ascii="Calibri" w:hAnsi="Calibri"/>
                <w:color w:val="000000"/>
              </w:rPr>
              <w:t>scorpaenids</w:t>
            </w:r>
            <w:proofErr w:type="spellEnd"/>
          </w:p>
        </w:tc>
        <w:tc>
          <w:tcPr>
            <w:tcW w:w="3192" w:type="dxa"/>
            <w:vAlign w:val="bottom"/>
          </w:tcPr>
          <w:p w14:paraId="258347E4" w14:textId="45F94DF7" w:rsidR="001B6AC7" w:rsidRPr="00B5591D" w:rsidRDefault="000C7C31" w:rsidP="001B6AC7">
            <w:pPr>
              <w:rPr>
                <w:rFonts w:ascii="Calibri" w:hAnsi="Calibri" w:cs="Calibri"/>
                <w:color w:val="000000"/>
              </w:rPr>
            </w:pPr>
            <w:r w:rsidRPr="000C7C31">
              <w:rPr>
                <w:rFonts w:ascii="Calibri" w:hAnsi="Calibri" w:cs="Calibri"/>
                <w:color w:val="000000"/>
              </w:rPr>
              <w:t>1.161</w:t>
            </w:r>
          </w:p>
        </w:tc>
      </w:tr>
      <w:tr w:rsidR="001B6AC7" w14:paraId="029EFAA5" w14:textId="77777777" w:rsidTr="00355695">
        <w:tc>
          <w:tcPr>
            <w:tcW w:w="3192" w:type="dxa"/>
          </w:tcPr>
          <w:p w14:paraId="4B3FE819"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6DB7ECFB" w14:textId="77777777" w:rsidR="001B6AC7" w:rsidRDefault="001B6AC7">
            <w:pPr>
              <w:rPr>
                <w:rFonts w:ascii="Calibri" w:hAnsi="Calibri"/>
                <w:color w:val="000000"/>
              </w:rPr>
            </w:pPr>
            <w:r>
              <w:rPr>
                <w:rFonts w:ascii="Calibri" w:hAnsi="Calibri"/>
                <w:color w:val="000000"/>
              </w:rPr>
              <w:t>Pleuronectids</w:t>
            </w:r>
          </w:p>
        </w:tc>
        <w:tc>
          <w:tcPr>
            <w:tcW w:w="3192" w:type="dxa"/>
            <w:vAlign w:val="bottom"/>
          </w:tcPr>
          <w:p w14:paraId="440B5A96" w14:textId="0E7EB79B" w:rsidR="001B6AC7" w:rsidRPr="00B5591D" w:rsidRDefault="000C7C31" w:rsidP="001B6AC7">
            <w:pPr>
              <w:rPr>
                <w:rFonts w:ascii="Calibri" w:hAnsi="Calibri" w:cs="Calibri"/>
                <w:color w:val="000000"/>
              </w:rPr>
            </w:pPr>
            <w:r w:rsidRPr="000C7C31">
              <w:rPr>
                <w:rFonts w:ascii="Calibri" w:hAnsi="Calibri" w:cs="Calibri"/>
                <w:color w:val="000000"/>
              </w:rPr>
              <w:t>0.978</w:t>
            </w:r>
          </w:p>
        </w:tc>
      </w:tr>
      <w:tr w:rsidR="001B6AC7" w14:paraId="2643E7E7" w14:textId="77777777" w:rsidTr="00355695">
        <w:tc>
          <w:tcPr>
            <w:tcW w:w="3192" w:type="dxa"/>
          </w:tcPr>
          <w:p w14:paraId="280250BA"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7BDFBFAB" w14:textId="77777777" w:rsidR="001B6AC7" w:rsidRDefault="001B6AC7">
            <w:pPr>
              <w:rPr>
                <w:rFonts w:ascii="Calibri" w:hAnsi="Calibri"/>
                <w:color w:val="000000"/>
              </w:rPr>
            </w:pPr>
            <w:proofErr w:type="spellStart"/>
            <w:r>
              <w:rPr>
                <w:rFonts w:ascii="Calibri" w:hAnsi="Calibri"/>
                <w:color w:val="000000"/>
              </w:rPr>
              <w:t>Sebastids</w:t>
            </w:r>
            <w:proofErr w:type="spellEnd"/>
          </w:p>
        </w:tc>
        <w:tc>
          <w:tcPr>
            <w:tcW w:w="3192" w:type="dxa"/>
            <w:vAlign w:val="bottom"/>
          </w:tcPr>
          <w:p w14:paraId="51C8FAA2" w14:textId="66D34C5B" w:rsidR="001B6AC7" w:rsidRPr="00B5591D" w:rsidRDefault="000C7C31" w:rsidP="001B6AC7">
            <w:pPr>
              <w:rPr>
                <w:rFonts w:ascii="Calibri" w:hAnsi="Calibri" w:cs="Calibri"/>
                <w:color w:val="000000"/>
              </w:rPr>
            </w:pPr>
            <w:r w:rsidRPr="000C7C31">
              <w:rPr>
                <w:rFonts w:ascii="Calibri" w:hAnsi="Calibri" w:cs="Calibri"/>
                <w:color w:val="000000"/>
              </w:rPr>
              <w:t>0.990</w:t>
            </w:r>
          </w:p>
        </w:tc>
      </w:tr>
      <w:tr w:rsidR="001B6AC7" w14:paraId="40998311" w14:textId="77777777" w:rsidTr="00355695">
        <w:tc>
          <w:tcPr>
            <w:tcW w:w="3192" w:type="dxa"/>
          </w:tcPr>
          <w:p w14:paraId="16245499"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0ACE3698" w14:textId="77777777" w:rsidR="001B6AC7" w:rsidRDefault="001B6AC7">
            <w:pPr>
              <w:rPr>
                <w:rFonts w:ascii="Calibri" w:hAnsi="Calibri"/>
                <w:color w:val="000000"/>
              </w:rPr>
            </w:pPr>
            <w:r>
              <w:rPr>
                <w:rFonts w:ascii="Calibri" w:hAnsi="Calibri"/>
                <w:color w:val="000000"/>
              </w:rPr>
              <w:t>Shrimps</w:t>
            </w:r>
          </w:p>
        </w:tc>
        <w:tc>
          <w:tcPr>
            <w:tcW w:w="3192" w:type="dxa"/>
            <w:vAlign w:val="bottom"/>
          </w:tcPr>
          <w:p w14:paraId="241123DC" w14:textId="4D15D4CE" w:rsidR="001B6AC7" w:rsidRPr="00B5591D" w:rsidRDefault="000C7C31" w:rsidP="001B6AC7">
            <w:pPr>
              <w:rPr>
                <w:rFonts w:ascii="Calibri" w:hAnsi="Calibri" w:cs="Calibri"/>
                <w:color w:val="000000"/>
              </w:rPr>
            </w:pPr>
            <w:r w:rsidRPr="000C7C31">
              <w:rPr>
                <w:rFonts w:ascii="Calibri" w:hAnsi="Calibri" w:cs="Calibri"/>
                <w:color w:val="000000"/>
              </w:rPr>
              <w:t>0.799</w:t>
            </w:r>
          </w:p>
        </w:tc>
      </w:tr>
      <w:tr w:rsidR="001B6AC7" w14:paraId="6DD37ADA" w14:textId="77777777" w:rsidTr="00355695">
        <w:tc>
          <w:tcPr>
            <w:tcW w:w="3192" w:type="dxa"/>
          </w:tcPr>
          <w:p w14:paraId="5C45FC57"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03EE754B" w14:textId="77777777" w:rsidR="001B6AC7" w:rsidRDefault="00A94DC2">
            <w:pPr>
              <w:rPr>
                <w:rFonts w:ascii="Calibri" w:hAnsi="Calibri"/>
                <w:color w:val="000000"/>
              </w:rPr>
            </w:pPr>
            <w:r>
              <w:rPr>
                <w:rFonts w:ascii="Calibri" w:hAnsi="Calibri"/>
                <w:color w:val="000000"/>
              </w:rPr>
              <w:t>T</w:t>
            </w:r>
            <w:r w:rsidR="001B6AC7">
              <w:rPr>
                <w:rFonts w:ascii="Calibri" w:hAnsi="Calibri"/>
                <w:color w:val="000000"/>
              </w:rPr>
              <w:t>una-billfish</w:t>
            </w:r>
          </w:p>
        </w:tc>
        <w:tc>
          <w:tcPr>
            <w:tcW w:w="3192" w:type="dxa"/>
            <w:vAlign w:val="bottom"/>
          </w:tcPr>
          <w:p w14:paraId="6E166FFF" w14:textId="5D3B71D3" w:rsidR="001B6AC7" w:rsidRPr="00B5591D" w:rsidRDefault="000C7C31" w:rsidP="00A94DC2">
            <w:pPr>
              <w:rPr>
                <w:rFonts w:ascii="Calibri" w:hAnsi="Calibri" w:cs="Calibri"/>
                <w:color w:val="000000"/>
              </w:rPr>
            </w:pPr>
            <w:r w:rsidRPr="000C7C31">
              <w:rPr>
                <w:rFonts w:ascii="Calibri" w:hAnsi="Calibri" w:cs="Calibri"/>
                <w:color w:val="000000"/>
              </w:rPr>
              <w:t>1.199</w:t>
            </w:r>
          </w:p>
        </w:tc>
      </w:tr>
      <w:tr w:rsidR="00C233F3" w14:paraId="78C7D084" w14:textId="77777777" w:rsidTr="00355695">
        <w:tc>
          <w:tcPr>
            <w:tcW w:w="3192" w:type="dxa"/>
          </w:tcPr>
          <w:p w14:paraId="651CE8B7" w14:textId="77777777" w:rsidR="00C233F3" w:rsidRPr="00C074D2" w:rsidRDefault="00C233F3">
            <w:pPr>
              <w:rPr>
                <w:rFonts w:ascii="Calibri" w:eastAsia="Times New Roman" w:hAnsi="Calibri" w:cs="Times New Roman"/>
                <w:color w:val="000000"/>
              </w:rPr>
            </w:pPr>
            <w:r>
              <w:rPr>
                <w:rFonts w:ascii="Calibri" w:eastAsia="Times New Roman" w:hAnsi="Calibri" w:cs="Times New Roman"/>
                <w:color w:val="000000"/>
              </w:rPr>
              <w:t>Fox Value</w:t>
            </w:r>
          </w:p>
        </w:tc>
        <w:tc>
          <w:tcPr>
            <w:tcW w:w="3192" w:type="dxa"/>
            <w:vAlign w:val="bottom"/>
          </w:tcPr>
          <w:p w14:paraId="2118A77F" w14:textId="77777777" w:rsidR="00C233F3" w:rsidRDefault="00C233F3">
            <w:pPr>
              <w:rPr>
                <w:rFonts w:ascii="Calibri" w:hAnsi="Calibri"/>
                <w:color w:val="000000"/>
              </w:rPr>
            </w:pPr>
            <w:r>
              <w:rPr>
                <w:rFonts w:ascii="Calibri" w:hAnsi="Calibri"/>
                <w:color w:val="000000"/>
              </w:rPr>
              <w:t>N/A</w:t>
            </w:r>
          </w:p>
        </w:tc>
        <w:tc>
          <w:tcPr>
            <w:tcW w:w="3192" w:type="dxa"/>
            <w:vAlign w:val="bottom"/>
          </w:tcPr>
          <w:p w14:paraId="49DE8602" w14:textId="77777777" w:rsidR="00C233F3" w:rsidRDefault="00C233F3" w:rsidP="00A94DC2">
            <w:pPr>
              <w:rPr>
                <w:rFonts w:ascii="Calibri" w:hAnsi="Calibri"/>
                <w:color w:val="000000"/>
              </w:rPr>
            </w:pPr>
            <w:r>
              <w:rPr>
                <w:rFonts w:ascii="Calibri" w:hAnsi="Calibri"/>
                <w:color w:val="000000"/>
              </w:rPr>
              <w:t>1.001</w:t>
            </w:r>
            <w:r w:rsidR="00B2273E">
              <w:rPr>
                <w:rFonts w:ascii="Calibri" w:hAnsi="Calibri"/>
                <w:color w:val="000000"/>
              </w:rPr>
              <w:t xml:space="preserve"> </w:t>
            </w:r>
            <w:r w:rsidR="00B2273E" w:rsidRPr="00B2273E">
              <w:rPr>
                <w:rFonts w:ascii="Calibri" w:hAnsi="Calibri"/>
                <w:b/>
                <w:color w:val="000000"/>
              </w:rPr>
              <w:t>*</w:t>
            </w:r>
          </w:p>
        </w:tc>
      </w:tr>
    </w:tbl>
    <w:p w14:paraId="24975755" w14:textId="77777777" w:rsidR="007D2EB8" w:rsidRDefault="007D2EB8"/>
    <w:p w14:paraId="5CFE29A0" w14:textId="77777777" w:rsidR="00DA6BA1" w:rsidRDefault="00F35983" w:rsidP="00F35983">
      <w:r w:rsidRPr="00F35983">
        <w:rPr>
          <w:b/>
        </w:rPr>
        <w:t>*</w:t>
      </w:r>
      <w:r>
        <w:t xml:space="preserve"> A slight offset from 1 is used to prevent dividing by 0 (see </w:t>
      </w:r>
      <w:r w:rsidRPr="00F35983">
        <w:rPr>
          <w:b/>
        </w:rPr>
        <w:t>Appendix 1</w:t>
      </w:r>
      <w:r>
        <w:t>).</w:t>
      </w:r>
    </w:p>
    <w:p w14:paraId="1D8FBF7C" w14:textId="77777777" w:rsidR="00EC3FF8" w:rsidRPr="00DA6BA1" w:rsidRDefault="00EC3FF8" w:rsidP="00236658">
      <w:pPr>
        <w:jc w:val="center"/>
        <w:rPr>
          <w:b/>
        </w:rPr>
      </w:pPr>
    </w:p>
    <w:p w14:paraId="2EB1C227" w14:textId="77777777" w:rsidR="00EC3FF8" w:rsidRPr="00445594" w:rsidRDefault="00EC3FF8" w:rsidP="00EC3FF8">
      <w:pPr>
        <w:jc w:val="center"/>
        <w:rPr>
          <w:b/>
          <w:sz w:val="32"/>
          <w:szCs w:val="32"/>
        </w:rPr>
      </w:pPr>
      <w:r w:rsidRPr="00445594">
        <w:rPr>
          <w:b/>
          <w:sz w:val="32"/>
          <w:szCs w:val="32"/>
        </w:rPr>
        <w:t xml:space="preserve">Initial Values (Table </w:t>
      </w:r>
      <w:r>
        <w:rPr>
          <w:b/>
          <w:sz w:val="32"/>
          <w:szCs w:val="32"/>
        </w:rPr>
        <w:t>5</w:t>
      </w:r>
      <w:r w:rsidRPr="00445594">
        <w:rPr>
          <w:b/>
          <w:sz w:val="32"/>
          <w:szCs w:val="32"/>
        </w:rPr>
        <w:t>)</w:t>
      </w:r>
    </w:p>
    <w:p w14:paraId="74721E4B" w14:textId="117FD672" w:rsidR="00EC3FF8" w:rsidRDefault="00EC3FF8" w:rsidP="00EC3FF8">
      <w:r>
        <w:t>Initial values considered for estimated parameters.</w:t>
      </w:r>
      <w:r w:rsidR="004D5C41">
        <w:t xml:space="preserve"> </w:t>
      </w:r>
      <w:r w:rsidR="00600263">
        <w:t xml:space="preserve">Boldfaced values are considered first. </w:t>
      </w:r>
      <w:r w:rsidR="004D5C41">
        <w:t>All combinations of values</w:t>
      </w:r>
      <w:r w:rsidR="002F1CBF">
        <w:t xml:space="preserve"> (up to 3 x 3 x 3 = 27 combinations if all three parameters are </w:t>
      </w:r>
      <w:r w:rsidR="00660279">
        <w:t>freely varying</w:t>
      </w:r>
      <w:r w:rsidR="002F1CBF">
        <w:t>)</w:t>
      </w:r>
      <w:r w:rsidR="004D5C41">
        <w:t xml:space="preserve"> are potentially available if previous initial values do not result in a converged model fit.</w:t>
      </w:r>
    </w:p>
    <w:p w14:paraId="59011210" w14:textId="77777777" w:rsidR="00DA6BA1" w:rsidRDefault="00DA6BA1" w:rsidP="00EC3FF8"/>
    <w:tbl>
      <w:tblPr>
        <w:tblStyle w:val="TableGrid"/>
        <w:tblW w:w="0" w:type="auto"/>
        <w:tblLook w:val="04A0" w:firstRow="1" w:lastRow="0" w:firstColumn="1" w:lastColumn="0" w:noHBand="0" w:noVBand="1"/>
      </w:tblPr>
      <w:tblGrid>
        <w:gridCol w:w="1098"/>
        <w:gridCol w:w="1319"/>
        <w:gridCol w:w="1208"/>
        <w:gridCol w:w="1253"/>
      </w:tblGrid>
      <w:tr w:rsidR="00EC3FF8" w14:paraId="4E906F8B" w14:textId="77777777" w:rsidTr="008334AD">
        <w:tc>
          <w:tcPr>
            <w:tcW w:w="1098" w:type="dxa"/>
          </w:tcPr>
          <w:p w14:paraId="191EE288" w14:textId="6B5C17F8" w:rsidR="00EC3FF8" w:rsidRPr="00E22BE1" w:rsidRDefault="00EC3FF8" w:rsidP="008334AD">
            <w:pPr>
              <w:rPr>
                <w:b/>
                <w:i/>
                <w:iCs/>
              </w:rPr>
            </w:pPr>
            <w:r w:rsidRPr="00E22BE1">
              <w:rPr>
                <w:b/>
                <w:i/>
                <w:iCs/>
              </w:rPr>
              <w:t>ER</w:t>
            </w:r>
            <w:r w:rsidR="00E22BE1" w:rsidRPr="00E22BE1">
              <w:rPr>
                <w:b/>
                <w:i/>
                <w:iCs/>
                <w:vertAlign w:val="subscript"/>
              </w:rPr>
              <w:t>MSY</w:t>
            </w:r>
          </w:p>
        </w:tc>
        <w:tc>
          <w:tcPr>
            <w:tcW w:w="1319" w:type="dxa"/>
          </w:tcPr>
          <w:p w14:paraId="50E53267" w14:textId="77777777" w:rsidR="00EC3FF8" w:rsidRDefault="00EC3FF8" w:rsidP="008334AD">
            <w:r>
              <w:t>0.1</w:t>
            </w:r>
          </w:p>
        </w:tc>
        <w:tc>
          <w:tcPr>
            <w:tcW w:w="1208" w:type="dxa"/>
          </w:tcPr>
          <w:p w14:paraId="03CB7FB3" w14:textId="77777777" w:rsidR="00EC3FF8" w:rsidRPr="00600263" w:rsidRDefault="00EC3FF8" w:rsidP="008334AD">
            <w:pPr>
              <w:rPr>
                <w:b/>
              </w:rPr>
            </w:pPr>
            <w:r w:rsidRPr="00600263">
              <w:rPr>
                <w:b/>
              </w:rPr>
              <w:t>0.3</w:t>
            </w:r>
          </w:p>
        </w:tc>
        <w:tc>
          <w:tcPr>
            <w:tcW w:w="1253" w:type="dxa"/>
          </w:tcPr>
          <w:p w14:paraId="30EEA72E" w14:textId="77777777" w:rsidR="00EC3FF8" w:rsidRDefault="00EC3FF8" w:rsidP="008334AD">
            <w:r>
              <w:t>0.6</w:t>
            </w:r>
          </w:p>
        </w:tc>
      </w:tr>
      <w:tr w:rsidR="00EC3FF8" w14:paraId="515C210E" w14:textId="77777777" w:rsidTr="008334AD">
        <w:tc>
          <w:tcPr>
            <w:tcW w:w="1098" w:type="dxa"/>
          </w:tcPr>
          <w:p w14:paraId="16140D8D" w14:textId="79A58295" w:rsidR="00EC3FF8" w:rsidRPr="00E22BE1" w:rsidRDefault="00EC3FF8" w:rsidP="008334AD">
            <w:pPr>
              <w:rPr>
                <w:b/>
                <w:i/>
                <w:iCs/>
              </w:rPr>
            </w:pPr>
            <w:r w:rsidRPr="00E22BE1">
              <w:rPr>
                <w:b/>
                <w:i/>
                <w:iCs/>
              </w:rPr>
              <w:t>TB</w:t>
            </w:r>
            <w:r w:rsidR="00E22BE1" w:rsidRPr="00E22BE1">
              <w:rPr>
                <w:b/>
                <w:i/>
                <w:iCs/>
                <w:vertAlign w:val="subscript"/>
              </w:rPr>
              <w:t>MSY</w:t>
            </w:r>
          </w:p>
        </w:tc>
        <w:tc>
          <w:tcPr>
            <w:tcW w:w="1319" w:type="dxa"/>
          </w:tcPr>
          <w:p w14:paraId="1A589CD6" w14:textId="2B391CA5" w:rsidR="00EC3FF8" w:rsidRDefault="00EC3FF8" w:rsidP="008334AD">
            <w:r>
              <w:t>0.3*</w:t>
            </w:r>
            <w:r w:rsidRPr="00E22BE1">
              <w:rPr>
                <w:i/>
                <w:iCs/>
              </w:rPr>
              <w:t>TB</w:t>
            </w:r>
            <w:r w:rsidR="00E22BE1" w:rsidRPr="00E22BE1">
              <w:rPr>
                <w:i/>
                <w:iCs/>
                <w:vertAlign w:val="subscript"/>
              </w:rPr>
              <w:t>MAX</w:t>
            </w:r>
          </w:p>
        </w:tc>
        <w:tc>
          <w:tcPr>
            <w:tcW w:w="1208" w:type="dxa"/>
          </w:tcPr>
          <w:p w14:paraId="54858393" w14:textId="54E415FD" w:rsidR="00EC3FF8" w:rsidRPr="00600263" w:rsidRDefault="00EC3FF8" w:rsidP="008334AD">
            <w:pPr>
              <w:rPr>
                <w:b/>
              </w:rPr>
            </w:pPr>
            <w:r w:rsidRPr="00600263">
              <w:rPr>
                <w:b/>
              </w:rPr>
              <w:t>0.6*</w:t>
            </w:r>
            <w:r w:rsidRPr="00E22BE1">
              <w:rPr>
                <w:b/>
                <w:i/>
                <w:iCs/>
              </w:rPr>
              <w:t>TB</w:t>
            </w:r>
            <w:r w:rsidR="00E22BE1" w:rsidRPr="00E22BE1">
              <w:rPr>
                <w:b/>
                <w:i/>
                <w:iCs/>
                <w:vertAlign w:val="subscript"/>
              </w:rPr>
              <w:t>MAX</w:t>
            </w:r>
          </w:p>
        </w:tc>
        <w:tc>
          <w:tcPr>
            <w:tcW w:w="1253" w:type="dxa"/>
          </w:tcPr>
          <w:p w14:paraId="21158355" w14:textId="3D7AB065" w:rsidR="00EC3FF8" w:rsidRDefault="00EC3FF8" w:rsidP="008334AD">
            <w:r>
              <w:t>1.5*</w:t>
            </w:r>
            <w:r w:rsidRPr="00E22BE1">
              <w:rPr>
                <w:i/>
                <w:iCs/>
              </w:rPr>
              <w:t>TB</w:t>
            </w:r>
            <w:r w:rsidR="00E22BE1" w:rsidRPr="00E22BE1">
              <w:rPr>
                <w:i/>
                <w:iCs/>
                <w:vertAlign w:val="subscript"/>
              </w:rPr>
              <w:t>MAX</w:t>
            </w:r>
          </w:p>
        </w:tc>
      </w:tr>
      <w:tr w:rsidR="00EC3FF8" w14:paraId="60D33D29" w14:textId="77777777" w:rsidTr="008334AD">
        <w:tc>
          <w:tcPr>
            <w:tcW w:w="1098" w:type="dxa"/>
          </w:tcPr>
          <w:p w14:paraId="566CF35F" w14:textId="77777777" w:rsidR="00EC3FF8" w:rsidRPr="00E22BE1" w:rsidRDefault="00EC3FF8" w:rsidP="008334AD">
            <w:pPr>
              <w:rPr>
                <w:b/>
                <w:i/>
                <w:iCs/>
              </w:rPr>
            </w:pPr>
            <w:r w:rsidRPr="00E22BE1">
              <w:rPr>
                <w:b/>
                <w:i/>
                <w:iCs/>
              </w:rPr>
              <w:t>p</w:t>
            </w:r>
          </w:p>
        </w:tc>
        <w:tc>
          <w:tcPr>
            <w:tcW w:w="1319" w:type="dxa"/>
          </w:tcPr>
          <w:p w14:paraId="2CC162D2" w14:textId="77777777" w:rsidR="00EC3FF8" w:rsidRDefault="00EC3FF8" w:rsidP="008334AD">
            <w:r>
              <w:t>0.5</w:t>
            </w:r>
          </w:p>
        </w:tc>
        <w:tc>
          <w:tcPr>
            <w:tcW w:w="1208" w:type="dxa"/>
          </w:tcPr>
          <w:p w14:paraId="11F8EDEE" w14:textId="77777777" w:rsidR="00EC3FF8" w:rsidRPr="00600263" w:rsidRDefault="00EC3FF8" w:rsidP="008334AD">
            <w:pPr>
              <w:rPr>
                <w:b/>
              </w:rPr>
            </w:pPr>
            <w:r w:rsidRPr="00600263">
              <w:rPr>
                <w:b/>
              </w:rPr>
              <w:t>1.2</w:t>
            </w:r>
          </w:p>
        </w:tc>
        <w:tc>
          <w:tcPr>
            <w:tcW w:w="1253" w:type="dxa"/>
          </w:tcPr>
          <w:p w14:paraId="15CC7C8F" w14:textId="77777777" w:rsidR="00EC3FF8" w:rsidRDefault="00EC3FF8" w:rsidP="008334AD">
            <w:r>
              <w:t>3</w:t>
            </w:r>
          </w:p>
        </w:tc>
      </w:tr>
    </w:tbl>
    <w:p w14:paraId="22DE251D" w14:textId="77777777" w:rsidR="00EC3FF8" w:rsidRDefault="00EC3FF8" w:rsidP="00EC3FF8"/>
    <w:p w14:paraId="3F428D7F" w14:textId="77777777" w:rsidR="00DA6BA1" w:rsidRDefault="00DA6BA1" w:rsidP="00236658">
      <w:pPr>
        <w:jc w:val="center"/>
        <w:rPr>
          <w:b/>
          <w:sz w:val="32"/>
          <w:szCs w:val="32"/>
        </w:rPr>
      </w:pPr>
    </w:p>
    <w:p w14:paraId="773B114F" w14:textId="77777777" w:rsidR="00EC3FF8" w:rsidRDefault="00EC3FF8" w:rsidP="00236658">
      <w:pPr>
        <w:jc w:val="center"/>
        <w:rPr>
          <w:b/>
          <w:sz w:val="32"/>
          <w:szCs w:val="32"/>
        </w:rPr>
      </w:pPr>
    </w:p>
    <w:p w14:paraId="3013EB2D" w14:textId="77777777" w:rsidR="00154885" w:rsidRDefault="00154885" w:rsidP="00236658">
      <w:pPr>
        <w:jc w:val="center"/>
        <w:rPr>
          <w:b/>
          <w:sz w:val="32"/>
          <w:szCs w:val="32"/>
        </w:rPr>
      </w:pPr>
    </w:p>
    <w:p w14:paraId="0731F159" w14:textId="77777777" w:rsidR="00154885" w:rsidRDefault="00154885" w:rsidP="00236658">
      <w:pPr>
        <w:jc w:val="center"/>
        <w:rPr>
          <w:b/>
          <w:sz w:val="32"/>
          <w:szCs w:val="32"/>
        </w:rPr>
      </w:pPr>
    </w:p>
    <w:p w14:paraId="22048833" w14:textId="77777777" w:rsidR="00154885" w:rsidRDefault="00154885" w:rsidP="00236658">
      <w:pPr>
        <w:jc w:val="center"/>
        <w:rPr>
          <w:b/>
          <w:sz w:val="32"/>
          <w:szCs w:val="32"/>
        </w:rPr>
      </w:pPr>
    </w:p>
    <w:p w14:paraId="22E9CE17" w14:textId="77777777" w:rsidR="00154885" w:rsidRDefault="00154885" w:rsidP="00236658">
      <w:pPr>
        <w:jc w:val="center"/>
        <w:rPr>
          <w:b/>
          <w:sz w:val="32"/>
          <w:szCs w:val="32"/>
        </w:rPr>
      </w:pPr>
    </w:p>
    <w:p w14:paraId="7E941FB8" w14:textId="77777777" w:rsidR="00154885" w:rsidRDefault="00154885" w:rsidP="00236658">
      <w:pPr>
        <w:jc w:val="center"/>
        <w:rPr>
          <w:b/>
          <w:sz w:val="32"/>
          <w:szCs w:val="32"/>
        </w:rPr>
      </w:pPr>
    </w:p>
    <w:p w14:paraId="1391CE1B" w14:textId="77777777" w:rsidR="00154885" w:rsidRDefault="00154885" w:rsidP="00236658">
      <w:pPr>
        <w:jc w:val="center"/>
        <w:rPr>
          <w:b/>
          <w:sz w:val="32"/>
          <w:szCs w:val="32"/>
        </w:rPr>
      </w:pPr>
    </w:p>
    <w:p w14:paraId="5B9CA9D0" w14:textId="77777777" w:rsidR="00154885" w:rsidRDefault="00154885" w:rsidP="00236658">
      <w:pPr>
        <w:jc w:val="center"/>
        <w:rPr>
          <w:b/>
          <w:sz w:val="32"/>
          <w:szCs w:val="32"/>
        </w:rPr>
      </w:pPr>
    </w:p>
    <w:p w14:paraId="242B7FC2" w14:textId="77777777" w:rsidR="00154885" w:rsidRDefault="00154885" w:rsidP="00236658">
      <w:pPr>
        <w:jc w:val="center"/>
        <w:rPr>
          <w:b/>
          <w:sz w:val="32"/>
          <w:szCs w:val="32"/>
        </w:rPr>
      </w:pPr>
    </w:p>
    <w:p w14:paraId="33D0FE3C" w14:textId="77777777" w:rsidR="00154885" w:rsidRDefault="00154885" w:rsidP="00236658">
      <w:pPr>
        <w:jc w:val="center"/>
        <w:rPr>
          <w:b/>
          <w:sz w:val="32"/>
          <w:szCs w:val="32"/>
        </w:rPr>
      </w:pPr>
    </w:p>
    <w:p w14:paraId="73B60595" w14:textId="77777777" w:rsidR="00154885" w:rsidRDefault="00154885" w:rsidP="00236658">
      <w:pPr>
        <w:jc w:val="center"/>
        <w:rPr>
          <w:b/>
          <w:sz w:val="32"/>
          <w:szCs w:val="32"/>
        </w:rPr>
      </w:pPr>
    </w:p>
    <w:p w14:paraId="29011167" w14:textId="77777777" w:rsidR="00154885" w:rsidRDefault="00154885" w:rsidP="00236658">
      <w:pPr>
        <w:jc w:val="center"/>
        <w:rPr>
          <w:b/>
          <w:sz w:val="32"/>
          <w:szCs w:val="32"/>
        </w:rPr>
      </w:pPr>
    </w:p>
    <w:p w14:paraId="29056207" w14:textId="77777777" w:rsidR="00C074D2" w:rsidRPr="00EC3FF8" w:rsidRDefault="00236658" w:rsidP="00236658">
      <w:pPr>
        <w:jc w:val="center"/>
        <w:rPr>
          <w:b/>
          <w:sz w:val="32"/>
          <w:szCs w:val="32"/>
        </w:rPr>
      </w:pPr>
      <w:r w:rsidRPr="00EC3FF8">
        <w:rPr>
          <w:b/>
          <w:sz w:val="32"/>
          <w:szCs w:val="32"/>
        </w:rPr>
        <w:t>Pass/Fail Criteria</w:t>
      </w:r>
      <w:r w:rsidR="00445594" w:rsidRPr="00EC3FF8">
        <w:rPr>
          <w:b/>
          <w:sz w:val="32"/>
          <w:szCs w:val="32"/>
        </w:rPr>
        <w:t xml:space="preserve"> (Table </w:t>
      </w:r>
      <w:r w:rsidR="00C7315F">
        <w:rPr>
          <w:b/>
          <w:sz w:val="32"/>
          <w:szCs w:val="32"/>
        </w:rPr>
        <w:t>6</w:t>
      </w:r>
      <w:r w:rsidR="00445594" w:rsidRPr="00EC3FF8">
        <w:rPr>
          <w:b/>
          <w:sz w:val="32"/>
          <w:szCs w:val="32"/>
        </w:rPr>
        <w:t>)</w:t>
      </w:r>
    </w:p>
    <w:p w14:paraId="4E8E7691" w14:textId="29A043E8" w:rsidR="00C074D2" w:rsidRDefault="002F1CBF">
      <w:r>
        <w:t>The following</w:t>
      </w:r>
      <w:r w:rsidR="007E06BA">
        <w:t xml:space="preserve"> criteria </w:t>
      </w:r>
      <w:r>
        <w:t xml:space="preserve">are </w:t>
      </w:r>
      <w:r w:rsidR="007E06BA">
        <w:t xml:space="preserve">used to decide whether a </w:t>
      </w:r>
      <w:r>
        <w:t xml:space="preserve">converged </w:t>
      </w:r>
      <w:r w:rsidR="007E06BA">
        <w:t xml:space="preserve">model </w:t>
      </w:r>
      <w:r>
        <w:t>is accepted</w:t>
      </w:r>
      <w:r w:rsidR="007E06BA">
        <w:t xml:space="preserve">. </w:t>
      </w:r>
      <w:r>
        <w:t xml:space="preserve"> All criteria (up to 8 filters, as applicable) must be met </w:t>
      </w:r>
      <w:proofErr w:type="gramStart"/>
      <w:r>
        <w:t>in order for</w:t>
      </w:r>
      <w:proofErr w:type="gramEnd"/>
      <w:r>
        <w:t xml:space="preserve"> the fit to be accepted (</w:t>
      </w:r>
      <w:r w:rsidR="00600263">
        <w:t>with the exception of</w:t>
      </w:r>
      <w:r>
        <w:t xml:space="preserve"> filter 2, </w:t>
      </w:r>
      <w:r w:rsidR="00600263">
        <w:t xml:space="preserve">for which </w:t>
      </w:r>
      <w:r>
        <w:t>only one of the two sub-filters a and b passing is necessary for an overall pass of filter 2). In a</w:t>
      </w:r>
      <w:r w:rsidR="007E06BA">
        <w:t>ddition</w:t>
      </w:r>
      <w:r>
        <w:t xml:space="preserve"> to passing all filters,</w:t>
      </w:r>
      <w:r w:rsidR="007E06BA">
        <w:t xml:space="preserve"> to be considered fully accepted</w:t>
      </w:r>
      <w:r>
        <w:t>,</w:t>
      </w:r>
      <w:r w:rsidR="007E06BA">
        <w:t xml:space="preserve"> the model </w:t>
      </w:r>
      <w:r>
        <w:t xml:space="preserve">fit </w:t>
      </w:r>
      <w:r w:rsidR="007E06BA">
        <w:t>must be appropriate for the data available</w:t>
      </w:r>
      <w:r>
        <w:t xml:space="preserve">. For example, </w:t>
      </w:r>
      <w:r w:rsidR="007E06BA">
        <w:t>if a stock has an assessment</w:t>
      </w:r>
      <w:r>
        <w:t>-estimated</w:t>
      </w:r>
      <w:r w:rsidR="007E06BA">
        <w:t xml:space="preserve"> </w:t>
      </w:r>
      <w:r w:rsidR="007E06BA" w:rsidRPr="00660279">
        <w:rPr>
          <w:i/>
          <w:iCs/>
        </w:rPr>
        <w:t>TB</w:t>
      </w:r>
      <w:r w:rsidR="00660279" w:rsidRPr="00660279">
        <w:rPr>
          <w:i/>
          <w:iCs/>
          <w:vertAlign w:val="subscript"/>
        </w:rPr>
        <w:t>MSY</w:t>
      </w:r>
      <w:r>
        <w:t>,</w:t>
      </w:r>
      <w:r w:rsidR="007E06BA">
        <w:t xml:space="preserve"> then a model </w:t>
      </w:r>
      <w:r>
        <w:t xml:space="preserve">with a </w:t>
      </w:r>
      <w:r w:rsidR="00660279">
        <w:t>freely varying</w:t>
      </w:r>
      <w:r w:rsidR="007E06BA">
        <w:t xml:space="preserve"> </w:t>
      </w:r>
      <w:r w:rsidR="007E06BA" w:rsidRPr="00660279">
        <w:rPr>
          <w:i/>
          <w:iCs/>
        </w:rPr>
        <w:t>TB</w:t>
      </w:r>
      <w:r w:rsidR="00660279" w:rsidRPr="00660279">
        <w:rPr>
          <w:i/>
          <w:iCs/>
          <w:vertAlign w:val="subscript"/>
        </w:rPr>
        <w:t>MSY</w:t>
      </w:r>
      <w:r w:rsidR="007E06BA">
        <w:t xml:space="preserve"> </w:t>
      </w:r>
      <w:r>
        <w:t xml:space="preserve">parameter </w:t>
      </w:r>
      <w:r w:rsidR="007E06BA">
        <w:t>would not be considered</w:t>
      </w:r>
      <w:r>
        <w:t xml:space="preserve"> appropriate, thus is not</w:t>
      </w:r>
      <w:r w:rsidR="007E06BA">
        <w:t xml:space="preserve"> fully accepted</w:t>
      </w:r>
      <w:r>
        <w:t xml:space="preserve"> even</w:t>
      </w:r>
      <w:r w:rsidR="007E06BA">
        <w:t xml:space="preserve"> though it may still pass</w:t>
      </w:r>
      <w:r>
        <w:t xml:space="preserve"> all filters</w:t>
      </w:r>
      <w:r w:rsidR="00600263">
        <w:t>.</w:t>
      </w:r>
      <w:r>
        <w:t xml:space="preserve"> </w:t>
      </w:r>
      <w:r w:rsidR="00600263">
        <w:t>S</w:t>
      </w:r>
      <w:r>
        <w:t>uch a model would sti</w:t>
      </w:r>
      <w:r w:rsidR="00600263">
        <w:t>ll be used in cross-validations</w:t>
      </w:r>
      <w:r w:rsidR="007E06BA">
        <w:t>.</w:t>
      </w:r>
      <w:r w:rsidR="00DA0180">
        <w:t xml:space="preserve"> </w:t>
      </w:r>
    </w:p>
    <w:p w14:paraId="4A677237" w14:textId="77777777" w:rsidR="00DA6BA1" w:rsidRDefault="00DA6BA1"/>
    <w:tbl>
      <w:tblPr>
        <w:tblW w:w="83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7425"/>
      </w:tblGrid>
      <w:tr w:rsidR="00236658" w:rsidRPr="00236658" w14:paraId="21445772" w14:textId="77777777" w:rsidTr="00660279">
        <w:trPr>
          <w:trHeight w:val="300"/>
        </w:trPr>
        <w:tc>
          <w:tcPr>
            <w:tcW w:w="960" w:type="dxa"/>
            <w:shd w:val="clear" w:color="auto" w:fill="auto"/>
            <w:noWrap/>
            <w:vAlign w:val="bottom"/>
            <w:hideMark/>
          </w:tcPr>
          <w:p w14:paraId="7D958424" w14:textId="77777777" w:rsidR="00236658" w:rsidRPr="00236658" w:rsidRDefault="00236658" w:rsidP="00236658">
            <w:pPr>
              <w:spacing w:after="0" w:line="240" w:lineRule="auto"/>
              <w:rPr>
                <w:rFonts w:ascii="Calibri" w:eastAsia="Times New Roman" w:hAnsi="Calibri" w:cs="Times New Roman"/>
                <w:b/>
                <w:color w:val="000000"/>
              </w:rPr>
            </w:pPr>
            <w:r w:rsidRPr="00236658">
              <w:rPr>
                <w:rFonts w:ascii="Calibri" w:eastAsia="Times New Roman" w:hAnsi="Calibri" w:cs="Times New Roman"/>
                <w:b/>
                <w:color w:val="000000"/>
              </w:rPr>
              <w:t>Filter</w:t>
            </w:r>
          </w:p>
        </w:tc>
        <w:tc>
          <w:tcPr>
            <w:tcW w:w="7425" w:type="dxa"/>
            <w:shd w:val="clear" w:color="auto" w:fill="auto"/>
            <w:noWrap/>
            <w:vAlign w:val="bottom"/>
            <w:hideMark/>
          </w:tcPr>
          <w:p w14:paraId="6BFB42F3" w14:textId="77777777" w:rsidR="00236658" w:rsidRPr="00236658" w:rsidRDefault="00600263" w:rsidP="00236658">
            <w:pPr>
              <w:spacing w:after="0" w:line="240" w:lineRule="auto"/>
              <w:rPr>
                <w:rFonts w:ascii="Calibri" w:eastAsia="Times New Roman" w:hAnsi="Calibri" w:cs="Times New Roman"/>
                <w:b/>
                <w:color w:val="000000"/>
              </w:rPr>
            </w:pPr>
            <w:r>
              <w:rPr>
                <w:rFonts w:ascii="Calibri" w:eastAsia="Times New Roman" w:hAnsi="Calibri" w:cs="Times New Roman"/>
                <w:b/>
                <w:color w:val="000000"/>
              </w:rPr>
              <w:t>Criterion for passing</w:t>
            </w:r>
          </w:p>
        </w:tc>
      </w:tr>
      <w:tr w:rsidR="00236658" w:rsidRPr="00236658" w14:paraId="30CC309D" w14:textId="77777777" w:rsidTr="00660279">
        <w:trPr>
          <w:trHeight w:val="300"/>
        </w:trPr>
        <w:tc>
          <w:tcPr>
            <w:tcW w:w="960" w:type="dxa"/>
            <w:shd w:val="clear" w:color="auto" w:fill="auto"/>
            <w:noWrap/>
            <w:vAlign w:val="bottom"/>
            <w:hideMark/>
          </w:tcPr>
          <w:p w14:paraId="55DB6AEF"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1</w:t>
            </w:r>
          </w:p>
        </w:tc>
        <w:tc>
          <w:tcPr>
            <w:tcW w:w="7425" w:type="dxa"/>
            <w:shd w:val="clear" w:color="auto" w:fill="auto"/>
            <w:noWrap/>
            <w:vAlign w:val="bottom"/>
            <w:hideMark/>
          </w:tcPr>
          <w:p w14:paraId="5DA22758"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Time series length</w:t>
            </w:r>
            <w:r w:rsidR="002F1CBF">
              <w:rPr>
                <w:rFonts w:ascii="Calibri" w:eastAsia="Times New Roman" w:hAnsi="Calibri" w:cs="Times New Roman"/>
                <w:color w:val="000000"/>
              </w:rPr>
              <w:t xml:space="preserve"> (number of observed annual </w:t>
            </w:r>
            <w:r w:rsidR="002F1CBF" w:rsidRPr="00660279">
              <w:rPr>
                <w:rFonts w:ascii="Calibri" w:eastAsia="Times New Roman" w:hAnsi="Calibri" w:cs="Times New Roman"/>
                <w:i/>
                <w:iCs/>
                <w:color w:val="000000"/>
              </w:rPr>
              <w:t>SP</w:t>
            </w:r>
            <w:r w:rsidR="002F1CBF">
              <w:rPr>
                <w:rFonts w:ascii="Calibri" w:eastAsia="Times New Roman" w:hAnsi="Calibri" w:cs="Times New Roman"/>
                <w:color w:val="000000"/>
              </w:rPr>
              <w:t xml:space="preserve"> values)</w:t>
            </w:r>
            <w:r w:rsidRPr="00236658">
              <w:rPr>
                <w:rFonts w:ascii="Calibri" w:eastAsia="Times New Roman" w:hAnsi="Calibri" w:cs="Times New Roman"/>
                <w:color w:val="000000"/>
              </w:rPr>
              <w:t xml:space="preserve"> greater than 5</w:t>
            </w:r>
          </w:p>
        </w:tc>
      </w:tr>
      <w:tr w:rsidR="00DA0180" w:rsidRPr="00236658" w14:paraId="5557704A" w14:textId="77777777" w:rsidTr="00660279">
        <w:trPr>
          <w:trHeight w:val="300"/>
        </w:trPr>
        <w:tc>
          <w:tcPr>
            <w:tcW w:w="960" w:type="dxa"/>
            <w:shd w:val="clear" w:color="auto" w:fill="auto"/>
            <w:noWrap/>
            <w:vAlign w:val="center"/>
          </w:tcPr>
          <w:p w14:paraId="2471C21E" w14:textId="77777777" w:rsidR="00DA0180" w:rsidRPr="00236658" w:rsidRDefault="00DA0180" w:rsidP="001D7053">
            <w:pPr>
              <w:spacing w:after="0" w:line="240" w:lineRule="auto"/>
              <w:rPr>
                <w:rFonts w:ascii="Calibri" w:eastAsia="Times New Roman" w:hAnsi="Calibri" w:cs="Times New Roman"/>
                <w:color w:val="000000"/>
              </w:rPr>
            </w:pPr>
            <w:r>
              <w:rPr>
                <w:rFonts w:ascii="Calibri" w:eastAsia="Times New Roman" w:hAnsi="Calibri" w:cs="Times New Roman"/>
                <w:color w:val="000000"/>
              </w:rPr>
              <w:t>2a</w:t>
            </w:r>
          </w:p>
        </w:tc>
        <w:tc>
          <w:tcPr>
            <w:tcW w:w="7425" w:type="dxa"/>
            <w:shd w:val="clear" w:color="auto" w:fill="auto"/>
            <w:noWrap/>
            <w:vAlign w:val="bottom"/>
          </w:tcPr>
          <w:p w14:paraId="3B30AC86" w14:textId="216FD3C4" w:rsidR="00DA0180" w:rsidRPr="00236658" w:rsidRDefault="00DA0180" w:rsidP="002F1CBF">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 xml:space="preserve">Less than 50% of </w:t>
            </w:r>
            <w:r w:rsidR="002F1CBF">
              <w:rPr>
                <w:rFonts w:ascii="Calibri" w:eastAsia="Times New Roman" w:hAnsi="Calibri" w:cs="Times New Roman"/>
                <w:color w:val="000000"/>
              </w:rPr>
              <w:t xml:space="preserve">observed </w:t>
            </w:r>
            <w:r w:rsidRPr="00660279">
              <w:rPr>
                <w:rFonts w:ascii="Calibri" w:eastAsia="Times New Roman" w:hAnsi="Calibri" w:cs="Times New Roman"/>
                <w:i/>
                <w:iCs/>
                <w:color w:val="000000"/>
              </w:rPr>
              <w:t>SP</w:t>
            </w:r>
            <w:r w:rsidRPr="00236658">
              <w:rPr>
                <w:rFonts w:ascii="Calibri" w:eastAsia="Times New Roman" w:hAnsi="Calibri" w:cs="Times New Roman"/>
                <w:color w:val="000000"/>
              </w:rPr>
              <w:t xml:space="preserve"> values </w:t>
            </w:r>
            <w:r>
              <w:rPr>
                <w:rFonts w:ascii="Calibri" w:eastAsia="Times New Roman" w:hAnsi="Calibri" w:cs="Times New Roman"/>
                <w:color w:val="000000"/>
              </w:rPr>
              <w:t xml:space="preserve">in </w:t>
            </w:r>
            <w:r w:rsidR="002F1CBF">
              <w:rPr>
                <w:rFonts w:ascii="Calibri" w:eastAsia="Times New Roman" w:hAnsi="Calibri" w:cs="Times New Roman"/>
                <w:color w:val="000000"/>
              </w:rPr>
              <w:t xml:space="preserve">the two </w:t>
            </w:r>
            <w:r>
              <w:rPr>
                <w:rFonts w:ascii="Calibri" w:eastAsia="Times New Roman" w:hAnsi="Calibri" w:cs="Times New Roman"/>
                <w:color w:val="000000"/>
              </w:rPr>
              <w:t>middle quadrants</w:t>
            </w:r>
            <w:r w:rsidR="002F1CBF">
              <w:rPr>
                <w:rFonts w:ascii="Calibri" w:eastAsia="Times New Roman" w:hAnsi="Calibri" w:cs="Times New Roman"/>
                <w:color w:val="000000"/>
              </w:rPr>
              <w:t xml:space="preserve"> are negative, </w:t>
            </w:r>
            <w:r w:rsidR="00181710">
              <w:rPr>
                <w:rFonts w:ascii="Calibri" w:eastAsia="Times New Roman" w:hAnsi="Calibri" w:cs="Times New Roman"/>
                <w:color w:val="000000"/>
              </w:rPr>
              <w:t xml:space="preserve">and the number of </w:t>
            </w:r>
            <w:r w:rsidR="002F1CBF" w:rsidRPr="00660279">
              <w:rPr>
                <w:rFonts w:ascii="Calibri" w:eastAsia="Times New Roman" w:hAnsi="Calibri" w:cs="Times New Roman"/>
                <w:i/>
                <w:iCs/>
                <w:color w:val="000000"/>
              </w:rPr>
              <w:t>SP</w:t>
            </w:r>
            <w:r w:rsidR="002F1CBF">
              <w:rPr>
                <w:rFonts w:ascii="Calibri" w:eastAsia="Times New Roman" w:hAnsi="Calibri" w:cs="Times New Roman"/>
                <w:color w:val="000000"/>
              </w:rPr>
              <w:t xml:space="preserve"> </w:t>
            </w:r>
            <w:r w:rsidR="00181710">
              <w:rPr>
                <w:rFonts w:ascii="Calibri" w:eastAsia="Times New Roman" w:hAnsi="Calibri" w:cs="Times New Roman"/>
                <w:color w:val="000000"/>
              </w:rPr>
              <w:t xml:space="preserve">values in </w:t>
            </w:r>
            <w:r w:rsidR="002F1CBF">
              <w:rPr>
                <w:rFonts w:ascii="Calibri" w:eastAsia="Times New Roman" w:hAnsi="Calibri" w:cs="Times New Roman"/>
                <w:color w:val="000000"/>
              </w:rPr>
              <w:t xml:space="preserve">these two </w:t>
            </w:r>
            <w:r w:rsidR="00181710">
              <w:rPr>
                <w:rFonts w:ascii="Calibri" w:eastAsia="Times New Roman" w:hAnsi="Calibri" w:cs="Times New Roman"/>
                <w:color w:val="000000"/>
              </w:rPr>
              <w:t xml:space="preserve">middle </w:t>
            </w:r>
            <w:r w:rsidR="002F1CBF">
              <w:rPr>
                <w:rFonts w:ascii="Calibri" w:eastAsia="Times New Roman" w:hAnsi="Calibri" w:cs="Times New Roman"/>
                <w:color w:val="000000"/>
              </w:rPr>
              <w:t xml:space="preserve">biomass </w:t>
            </w:r>
            <w:r w:rsidR="00181710">
              <w:rPr>
                <w:rFonts w:ascii="Calibri" w:eastAsia="Times New Roman" w:hAnsi="Calibri" w:cs="Times New Roman"/>
                <w:color w:val="000000"/>
              </w:rPr>
              <w:t>quadrants</w:t>
            </w:r>
            <w:r w:rsidR="002F1CBF">
              <w:rPr>
                <w:rFonts w:ascii="Calibri" w:eastAsia="Times New Roman" w:hAnsi="Calibri" w:cs="Times New Roman"/>
                <w:color w:val="000000"/>
              </w:rPr>
              <w:t xml:space="preserve"> must also be</w:t>
            </w:r>
            <w:r w:rsidR="00181710">
              <w:rPr>
                <w:rFonts w:ascii="Calibri" w:eastAsia="Times New Roman" w:hAnsi="Calibri" w:cs="Times New Roman"/>
                <w:color w:val="000000"/>
              </w:rPr>
              <w:t xml:space="preserve"> greater than </w:t>
            </w:r>
            <w:r w:rsidR="002F1CBF">
              <w:rPr>
                <w:rFonts w:ascii="Calibri" w:eastAsia="Times New Roman" w:hAnsi="Calibri" w:cs="Times New Roman"/>
                <w:color w:val="000000"/>
              </w:rPr>
              <w:t xml:space="preserve">5. These biomass quadrants are defined as 4 equal intervals between 0 and estimated </w:t>
            </w:r>
            <w:r w:rsidR="002F1CBF" w:rsidRPr="00660279">
              <w:rPr>
                <w:rFonts w:ascii="Calibri" w:eastAsia="Times New Roman" w:hAnsi="Calibri" w:cs="Times New Roman"/>
                <w:i/>
                <w:iCs/>
                <w:color w:val="000000"/>
              </w:rPr>
              <w:t>K</w:t>
            </w:r>
            <w:r w:rsidR="002F1CBF">
              <w:rPr>
                <w:rFonts w:ascii="Calibri" w:eastAsia="Times New Roman" w:hAnsi="Calibri" w:cs="Times New Roman"/>
                <w:color w:val="000000"/>
              </w:rPr>
              <w:t xml:space="preserve"> (carrying capacity), i.e. the two points where predicated annual surplus production is 0.</w:t>
            </w:r>
            <w:r w:rsidR="00EB65F6">
              <w:rPr>
                <w:rFonts w:ascii="Calibri" w:eastAsia="Times New Roman" w:hAnsi="Calibri" w:cs="Times New Roman"/>
                <w:color w:val="000000"/>
              </w:rPr>
              <w:t xml:space="preserve"> Both this and 2b must fail together for overall filter 2 to be considered failed.</w:t>
            </w:r>
          </w:p>
        </w:tc>
      </w:tr>
      <w:tr w:rsidR="00236658" w:rsidRPr="00236658" w14:paraId="51AD57CF" w14:textId="77777777" w:rsidTr="00660279">
        <w:trPr>
          <w:trHeight w:val="300"/>
        </w:trPr>
        <w:tc>
          <w:tcPr>
            <w:tcW w:w="960" w:type="dxa"/>
            <w:shd w:val="clear" w:color="auto" w:fill="auto"/>
            <w:noWrap/>
            <w:vAlign w:val="center"/>
            <w:hideMark/>
          </w:tcPr>
          <w:p w14:paraId="167B9808" w14:textId="77777777" w:rsidR="00236658" w:rsidRPr="00236658" w:rsidRDefault="00236658" w:rsidP="001D7053">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lastRenderedPageBreak/>
              <w:t>2</w:t>
            </w:r>
            <w:r w:rsidR="00DA0180">
              <w:rPr>
                <w:rFonts w:ascii="Calibri" w:eastAsia="Times New Roman" w:hAnsi="Calibri" w:cs="Times New Roman"/>
                <w:color w:val="000000"/>
              </w:rPr>
              <w:t>b</w:t>
            </w:r>
          </w:p>
        </w:tc>
        <w:tc>
          <w:tcPr>
            <w:tcW w:w="7425" w:type="dxa"/>
            <w:shd w:val="clear" w:color="auto" w:fill="auto"/>
            <w:noWrap/>
            <w:vAlign w:val="bottom"/>
            <w:hideMark/>
          </w:tcPr>
          <w:p w14:paraId="1E8439E2" w14:textId="49A8AF19" w:rsidR="00236658" w:rsidRPr="00236658" w:rsidRDefault="00DA0180" w:rsidP="001D705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Sum of </w:t>
            </w:r>
            <w:r w:rsidR="002F1CBF">
              <w:rPr>
                <w:rFonts w:ascii="Calibri" w:eastAsia="Times New Roman" w:hAnsi="Calibri" w:cs="Times New Roman"/>
                <w:color w:val="000000"/>
              </w:rPr>
              <w:t xml:space="preserve">observed </w:t>
            </w:r>
            <w:r w:rsidRPr="00660279">
              <w:rPr>
                <w:rFonts w:ascii="Calibri" w:eastAsia="Times New Roman" w:hAnsi="Calibri" w:cs="Times New Roman"/>
                <w:i/>
                <w:iCs/>
                <w:color w:val="000000"/>
              </w:rPr>
              <w:t>SP</w:t>
            </w:r>
            <w:r>
              <w:rPr>
                <w:rFonts w:ascii="Calibri" w:eastAsia="Times New Roman" w:hAnsi="Calibri" w:cs="Times New Roman"/>
                <w:color w:val="000000"/>
              </w:rPr>
              <w:t xml:space="preserve"> values in </w:t>
            </w:r>
            <w:r w:rsidR="002F1CBF">
              <w:rPr>
                <w:rFonts w:ascii="Calibri" w:eastAsia="Times New Roman" w:hAnsi="Calibri" w:cs="Times New Roman"/>
                <w:color w:val="000000"/>
              </w:rPr>
              <w:t xml:space="preserve">the two </w:t>
            </w:r>
            <w:r>
              <w:rPr>
                <w:rFonts w:ascii="Calibri" w:eastAsia="Times New Roman" w:hAnsi="Calibri" w:cs="Times New Roman"/>
                <w:color w:val="000000"/>
              </w:rPr>
              <w:t xml:space="preserve">middle </w:t>
            </w:r>
            <w:r w:rsidR="002F1CBF">
              <w:rPr>
                <w:rFonts w:ascii="Calibri" w:eastAsia="Times New Roman" w:hAnsi="Calibri" w:cs="Times New Roman"/>
                <w:color w:val="000000"/>
              </w:rPr>
              <w:t xml:space="preserve">biomass </w:t>
            </w:r>
            <w:r>
              <w:rPr>
                <w:rFonts w:ascii="Calibri" w:eastAsia="Times New Roman" w:hAnsi="Calibri" w:cs="Times New Roman"/>
                <w:color w:val="000000"/>
              </w:rPr>
              <w:t xml:space="preserve">quadrants is </w:t>
            </w:r>
            <w:r w:rsidR="0073430B">
              <w:rPr>
                <w:rFonts w:ascii="Calibri" w:eastAsia="Times New Roman" w:hAnsi="Calibri" w:cs="Times New Roman"/>
                <w:color w:val="000000"/>
              </w:rPr>
              <w:t>non-</w:t>
            </w:r>
            <w:r>
              <w:rPr>
                <w:rFonts w:ascii="Calibri" w:eastAsia="Times New Roman" w:hAnsi="Calibri" w:cs="Times New Roman"/>
                <w:color w:val="000000"/>
              </w:rPr>
              <w:t>negative</w:t>
            </w:r>
            <w:r w:rsidR="002F1CBF">
              <w:rPr>
                <w:rFonts w:ascii="Calibri" w:eastAsia="Times New Roman" w:hAnsi="Calibri" w:cs="Times New Roman"/>
                <w:color w:val="000000"/>
              </w:rPr>
              <w:t xml:space="preserve">, </w:t>
            </w:r>
            <w:r w:rsidR="00181710">
              <w:rPr>
                <w:rFonts w:ascii="Calibri" w:eastAsia="Times New Roman" w:hAnsi="Calibri" w:cs="Times New Roman"/>
                <w:color w:val="000000"/>
              </w:rPr>
              <w:t xml:space="preserve">and the number of </w:t>
            </w:r>
            <w:r w:rsidR="002F1CBF" w:rsidRPr="00660279">
              <w:rPr>
                <w:rFonts w:ascii="Calibri" w:eastAsia="Times New Roman" w:hAnsi="Calibri" w:cs="Times New Roman"/>
                <w:i/>
                <w:iCs/>
                <w:color w:val="000000"/>
              </w:rPr>
              <w:t>SP</w:t>
            </w:r>
            <w:r w:rsidR="002F1CBF">
              <w:rPr>
                <w:rFonts w:ascii="Calibri" w:eastAsia="Times New Roman" w:hAnsi="Calibri" w:cs="Times New Roman"/>
                <w:color w:val="000000"/>
              </w:rPr>
              <w:t xml:space="preserve"> </w:t>
            </w:r>
            <w:r w:rsidR="00181710">
              <w:rPr>
                <w:rFonts w:ascii="Calibri" w:eastAsia="Times New Roman" w:hAnsi="Calibri" w:cs="Times New Roman"/>
                <w:color w:val="000000"/>
              </w:rPr>
              <w:t xml:space="preserve">values in </w:t>
            </w:r>
            <w:r w:rsidR="002F1CBF">
              <w:rPr>
                <w:rFonts w:ascii="Calibri" w:eastAsia="Times New Roman" w:hAnsi="Calibri" w:cs="Times New Roman"/>
                <w:color w:val="000000"/>
              </w:rPr>
              <w:t xml:space="preserve">these two </w:t>
            </w:r>
            <w:r w:rsidR="00181710">
              <w:rPr>
                <w:rFonts w:ascii="Calibri" w:eastAsia="Times New Roman" w:hAnsi="Calibri" w:cs="Times New Roman"/>
                <w:color w:val="000000"/>
              </w:rPr>
              <w:t xml:space="preserve">middle </w:t>
            </w:r>
            <w:r w:rsidR="002F1CBF">
              <w:rPr>
                <w:rFonts w:ascii="Calibri" w:eastAsia="Times New Roman" w:hAnsi="Calibri" w:cs="Times New Roman"/>
                <w:color w:val="000000"/>
              </w:rPr>
              <w:t xml:space="preserve">biomass </w:t>
            </w:r>
            <w:r w:rsidR="00181710">
              <w:rPr>
                <w:rFonts w:ascii="Calibri" w:eastAsia="Times New Roman" w:hAnsi="Calibri" w:cs="Times New Roman"/>
                <w:color w:val="000000"/>
              </w:rPr>
              <w:t xml:space="preserve">quadrants </w:t>
            </w:r>
            <w:r w:rsidR="001D7053">
              <w:rPr>
                <w:rFonts w:ascii="Calibri" w:eastAsia="Times New Roman" w:hAnsi="Calibri" w:cs="Times New Roman"/>
                <w:color w:val="000000"/>
              </w:rPr>
              <w:t>must also be</w:t>
            </w:r>
            <w:r w:rsidR="00181710">
              <w:rPr>
                <w:rFonts w:ascii="Calibri" w:eastAsia="Times New Roman" w:hAnsi="Calibri" w:cs="Times New Roman"/>
                <w:color w:val="000000"/>
              </w:rPr>
              <w:t xml:space="preserve"> greater than</w:t>
            </w:r>
            <w:r w:rsidR="001D7053">
              <w:rPr>
                <w:rFonts w:ascii="Calibri" w:eastAsia="Times New Roman" w:hAnsi="Calibri" w:cs="Times New Roman"/>
                <w:color w:val="000000"/>
              </w:rPr>
              <w:t xml:space="preserve"> 5</w:t>
            </w:r>
            <w:r w:rsidR="00181710">
              <w:rPr>
                <w:rFonts w:ascii="Calibri" w:eastAsia="Times New Roman" w:hAnsi="Calibri" w:cs="Times New Roman"/>
                <w:color w:val="000000"/>
              </w:rPr>
              <w:t>)</w:t>
            </w:r>
            <w:r w:rsidR="00EB65F6">
              <w:rPr>
                <w:rFonts w:ascii="Calibri" w:eastAsia="Times New Roman" w:hAnsi="Calibri" w:cs="Times New Roman"/>
                <w:color w:val="000000"/>
              </w:rPr>
              <w:t>. Both this and 2a must fail together for overall filter 2 to be considered failed.</w:t>
            </w:r>
          </w:p>
        </w:tc>
      </w:tr>
      <w:tr w:rsidR="00236658" w:rsidRPr="00236658" w14:paraId="603F4B21" w14:textId="77777777" w:rsidTr="00660279">
        <w:trPr>
          <w:trHeight w:val="300"/>
        </w:trPr>
        <w:tc>
          <w:tcPr>
            <w:tcW w:w="960" w:type="dxa"/>
            <w:shd w:val="clear" w:color="auto" w:fill="auto"/>
            <w:noWrap/>
            <w:vAlign w:val="bottom"/>
            <w:hideMark/>
          </w:tcPr>
          <w:p w14:paraId="020E8FB2"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3</w:t>
            </w:r>
          </w:p>
        </w:tc>
        <w:tc>
          <w:tcPr>
            <w:tcW w:w="7425" w:type="dxa"/>
            <w:shd w:val="clear" w:color="auto" w:fill="auto"/>
            <w:noWrap/>
            <w:vAlign w:val="bottom"/>
            <w:hideMark/>
          </w:tcPr>
          <w:p w14:paraId="03AB5DEF" w14:textId="6B0AC343"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0.0</w:t>
            </w:r>
            <w:r w:rsidR="00D34444">
              <w:rPr>
                <w:rFonts w:ascii="Calibri" w:eastAsia="Times New Roman" w:hAnsi="Calibri" w:cs="Times New Roman"/>
                <w:color w:val="000000"/>
              </w:rPr>
              <w:t>05</w:t>
            </w:r>
            <w:r w:rsidRPr="00236658">
              <w:rPr>
                <w:rFonts w:ascii="Calibri" w:eastAsia="Times New Roman" w:hAnsi="Calibri" w:cs="Times New Roman"/>
                <w:color w:val="000000"/>
              </w:rPr>
              <w:t xml:space="preserve"> &lt; </w:t>
            </w:r>
            <w:r w:rsidRPr="00660279">
              <w:rPr>
                <w:rFonts w:ascii="Calibri" w:eastAsia="Times New Roman" w:hAnsi="Calibri" w:cs="Times New Roman"/>
                <w:i/>
                <w:iCs/>
                <w:color w:val="000000"/>
              </w:rPr>
              <w:t>ER</w:t>
            </w:r>
            <w:r w:rsidR="00660279" w:rsidRPr="00660279">
              <w:rPr>
                <w:rFonts w:ascii="Calibri" w:eastAsia="Times New Roman" w:hAnsi="Calibri" w:cs="Times New Roman"/>
                <w:i/>
                <w:iCs/>
                <w:color w:val="000000"/>
                <w:vertAlign w:val="subscript"/>
              </w:rPr>
              <w:t>MSY</w:t>
            </w:r>
            <w:r w:rsidR="001D7053">
              <w:rPr>
                <w:rFonts w:ascii="Calibri" w:eastAsia="Times New Roman" w:hAnsi="Calibri" w:cs="Times New Roman"/>
                <w:color w:val="000000"/>
              </w:rPr>
              <w:t xml:space="preserve"> estimate</w:t>
            </w:r>
            <w:r w:rsidR="00EB65F6">
              <w:rPr>
                <w:rFonts w:ascii="Calibri" w:eastAsia="Times New Roman" w:hAnsi="Calibri" w:cs="Times New Roman"/>
                <w:color w:val="000000"/>
              </w:rPr>
              <w:t xml:space="preserve"> (ignored if </w:t>
            </w:r>
            <w:r w:rsidR="00EB65F6" w:rsidRPr="00EB65F6">
              <w:rPr>
                <w:rFonts w:ascii="Calibri" w:eastAsia="Times New Roman" w:hAnsi="Calibri" w:cs="Times New Roman"/>
                <w:i/>
                <w:iCs/>
                <w:color w:val="000000"/>
              </w:rPr>
              <w:t>ER</w:t>
            </w:r>
            <w:r w:rsidR="00EB65F6" w:rsidRPr="00EB65F6">
              <w:rPr>
                <w:rFonts w:ascii="Calibri" w:eastAsia="Times New Roman" w:hAnsi="Calibri" w:cs="Times New Roman"/>
                <w:i/>
                <w:iCs/>
                <w:color w:val="000000"/>
                <w:vertAlign w:val="subscript"/>
              </w:rPr>
              <w:t>MSY</w:t>
            </w:r>
            <w:r w:rsidR="00EB65F6">
              <w:rPr>
                <w:rFonts w:ascii="Calibri" w:eastAsia="Times New Roman" w:hAnsi="Calibri" w:cs="Times New Roman"/>
                <w:color w:val="000000"/>
              </w:rPr>
              <w:t xml:space="preserve"> is not estimated)</w:t>
            </w:r>
          </w:p>
        </w:tc>
      </w:tr>
      <w:tr w:rsidR="00236658" w:rsidRPr="00236658" w14:paraId="4F46EB8B" w14:textId="77777777" w:rsidTr="00660279">
        <w:trPr>
          <w:trHeight w:val="300"/>
        </w:trPr>
        <w:tc>
          <w:tcPr>
            <w:tcW w:w="960" w:type="dxa"/>
            <w:shd w:val="clear" w:color="auto" w:fill="auto"/>
            <w:noWrap/>
            <w:vAlign w:val="bottom"/>
            <w:hideMark/>
          </w:tcPr>
          <w:p w14:paraId="77320F63"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4</w:t>
            </w:r>
          </w:p>
        </w:tc>
        <w:tc>
          <w:tcPr>
            <w:tcW w:w="7425" w:type="dxa"/>
            <w:shd w:val="clear" w:color="auto" w:fill="auto"/>
            <w:noWrap/>
            <w:vAlign w:val="bottom"/>
            <w:hideMark/>
          </w:tcPr>
          <w:p w14:paraId="568534C9" w14:textId="59D3B21B" w:rsidR="00236658" w:rsidRPr="00236658" w:rsidRDefault="00236658" w:rsidP="00ED78B1">
            <w:pPr>
              <w:spacing w:after="0" w:line="240" w:lineRule="auto"/>
              <w:rPr>
                <w:rFonts w:ascii="Calibri" w:eastAsia="Times New Roman" w:hAnsi="Calibri" w:cs="Times New Roman"/>
                <w:color w:val="000000"/>
              </w:rPr>
            </w:pPr>
            <w:r w:rsidRPr="00660279">
              <w:rPr>
                <w:rFonts w:ascii="Calibri" w:eastAsia="Times New Roman" w:hAnsi="Calibri" w:cs="Times New Roman"/>
                <w:i/>
                <w:iCs/>
                <w:color w:val="000000"/>
              </w:rPr>
              <w:t>ER</w:t>
            </w:r>
            <w:r w:rsidR="00660279" w:rsidRPr="00660279">
              <w:rPr>
                <w:rFonts w:ascii="Calibri" w:eastAsia="Times New Roman" w:hAnsi="Calibri" w:cs="Times New Roman"/>
                <w:i/>
                <w:iCs/>
                <w:color w:val="000000"/>
                <w:vertAlign w:val="subscript"/>
              </w:rPr>
              <w:t>MSY</w:t>
            </w:r>
            <w:r w:rsidR="001D7053">
              <w:rPr>
                <w:rFonts w:ascii="Calibri" w:eastAsia="Times New Roman" w:hAnsi="Calibri" w:cs="Times New Roman"/>
                <w:color w:val="000000"/>
              </w:rPr>
              <w:t xml:space="preserve"> estimate</w:t>
            </w:r>
            <w:r w:rsidRPr="00236658">
              <w:rPr>
                <w:rFonts w:ascii="Calibri" w:eastAsia="Times New Roman" w:hAnsi="Calibri" w:cs="Times New Roman"/>
                <w:color w:val="000000"/>
              </w:rPr>
              <w:t xml:space="preserve"> &lt; 0.</w:t>
            </w:r>
            <w:r w:rsidR="00ED78B1">
              <w:rPr>
                <w:rFonts w:ascii="Calibri" w:eastAsia="Times New Roman" w:hAnsi="Calibri" w:cs="Times New Roman"/>
                <w:color w:val="000000"/>
              </w:rPr>
              <w:t>85</w:t>
            </w:r>
            <w:r w:rsidR="00EB65F6">
              <w:rPr>
                <w:rFonts w:ascii="Calibri" w:eastAsia="Times New Roman" w:hAnsi="Calibri" w:cs="Times New Roman"/>
                <w:color w:val="000000"/>
              </w:rPr>
              <w:t xml:space="preserve"> (ignored if </w:t>
            </w:r>
            <w:r w:rsidR="00EB65F6" w:rsidRPr="00EB65F6">
              <w:rPr>
                <w:rFonts w:ascii="Calibri" w:eastAsia="Times New Roman" w:hAnsi="Calibri" w:cs="Times New Roman"/>
                <w:i/>
                <w:iCs/>
                <w:color w:val="000000"/>
              </w:rPr>
              <w:t>ER</w:t>
            </w:r>
            <w:r w:rsidR="00EB65F6" w:rsidRPr="00EB65F6">
              <w:rPr>
                <w:rFonts w:ascii="Calibri" w:eastAsia="Times New Roman" w:hAnsi="Calibri" w:cs="Times New Roman"/>
                <w:i/>
                <w:iCs/>
                <w:color w:val="000000"/>
                <w:vertAlign w:val="subscript"/>
              </w:rPr>
              <w:t>MSY</w:t>
            </w:r>
            <w:r w:rsidR="00EB65F6">
              <w:rPr>
                <w:rFonts w:ascii="Calibri" w:eastAsia="Times New Roman" w:hAnsi="Calibri" w:cs="Times New Roman"/>
                <w:color w:val="000000"/>
              </w:rPr>
              <w:t xml:space="preserve"> is not estimated)</w:t>
            </w:r>
          </w:p>
        </w:tc>
      </w:tr>
      <w:tr w:rsidR="00236658" w:rsidRPr="00236658" w14:paraId="1EDCD3B7" w14:textId="77777777" w:rsidTr="00660279">
        <w:trPr>
          <w:trHeight w:val="300"/>
        </w:trPr>
        <w:tc>
          <w:tcPr>
            <w:tcW w:w="960" w:type="dxa"/>
            <w:shd w:val="clear" w:color="auto" w:fill="auto"/>
            <w:noWrap/>
            <w:vAlign w:val="bottom"/>
            <w:hideMark/>
          </w:tcPr>
          <w:p w14:paraId="6EC71C3E"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5</w:t>
            </w:r>
          </w:p>
        </w:tc>
        <w:tc>
          <w:tcPr>
            <w:tcW w:w="7425" w:type="dxa"/>
            <w:shd w:val="clear" w:color="auto" w:fill="auto"/>
            <w:noWrap/>
            <w:vAlign w:val="bottom"/>
            <w:hideMark/>
          </w:tcPr>
          <w:p w14:paraId="6793742D" w14:textId="00675CB8" w:rsidR="00236658" w:rsidRPr="00236658" w:rsidRDefault="00236658" w:rsidP="00ED78B1">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0.0</w:t>
            </w:r>
            <w:r w:rsidR="00ED78B1">
              <w:rPr>
                <w:rFonts w:ascii="Calibri" w:eastAsia="Times New Roman" w:hAnsi="Calibri" w:cs="Times New Roman"/>
                <w:color w:val="000000"/>
              </w:rPr>
              <w:t>7</w:t>
            </w:r>
            <w:r w:rsidRPr="00236658">
              <w:rPr>
                <w:rFonts w:ascii="Calibri" w:eastAsia="Times New Roman" w:hAnsi="Calibri" w:cs="Times New Roman"/>
                <w:color w:val="000000"/>
              </w:rPr>
              <w:t>*</w:t>
            </w:r>
            <w:r w:rsidRPr="00660279">
              <w:rPr>
                <w:rFonts w:ascii="Calibri" w:eastAsia="Times New Roman" w:hAnsi="Calibri" w:cs="Times New Roman"/>
                <w:i/>
                <w:iCs/>
                <w:color w:val="000000"/>
              </w:rPr>
              <w:t>TB</w:t>
            </w:r>
            <w:r w:rsidR="00660279" w:rsidRPr="00660279">
              <w:rPr>
                <w:rFonts w:ascii="Calibri" w:eastAsia="Times New Roman" w:hAnsi="Calibri" w:cs="Times New Roman"/>
                <w:i/>
                <w:iCs/>
                <w:color w:val="000000"/>
                <w:vertAlign w:val="subscript"/>
              </w:rPr>
              <w:t>MAX</w:t>
            </w:r>
            <w:r w:rsidRPr="00236658">
              <w:rPr>
                <w:rFonts w:ascii="Calibri" w:eastAsia="Times New Roman" w:hAnsi="Calibri" w:cs="Times New Roman"/>
                <w:color w:val="000000"/>
              </w:rPr>
              <w:t xml:space="preserve"> &lt; </w:t>
            </w:r>
            <w:r w:rsidRPr="00660279">
              <w:rPr>
                <w:rFonts w:ascii="Calibri" w:eastAsia="Times New Roman" w:hAnsi="Calibri" w:cs="Times New Roman"/>
                <w:i/>
                <w:iCs/>
                <w:color w:val="000000"/>
              </w:rPr>
              <w:t>TB</w:t>
            </w:r>
            <w:r w:rsidR="00660279" w:rsidRPr="00660279">
              <w:rPr>
                <w:rFonts w:ascii="Calibri" w:eastAsia="Times New Roman" w:hAnsi="Calibri" w:cs="Times New Roman"/>
                <w:i/>
                <w:iCs/>
                <w:color w:val="000000"/>
                <w:vertAlign w:val="subscript"/>
              </w:rPr>
              <w:t>MSY</w:t>
            </w:r>
            <w:r w:rsidR="001D7053">
              <w:rPr>
                <w:rFonts w:ascii="Calibri" w:eastAsia="Times New Roman" w:hAnsi="Calibri" w:cs="Times New Roman"/>
                <w:color w:val="000000"/>
              </w:rPr>
              <w:t xml:space="preserve"> estimate, where </w:t>
            </w:r>
            <w:r w:rsidR="001D7053" w:rsidRPr="00660279">
              <w:rPr>
                <w:rFonts w:ascii="Calibri" w:eastAsia="Times New Roman" w:hAnsi="Calibri" w:cs="Times New Roman"/>
                <w:i/>
                <w:iCs/>
                <w:color w:val="000000"/>
              </w:rPr>
              <w:t>TB</w:t>
            </w:r>
            <w:r w:rsidR="00660279" w:rsidRPr="00660279">
              <w:rPr>
                <w:rFonts w:ascii="Calibri" w:eastAsia="Times New Roman" w:hAnsi="Calibri" w:cs="Times New Roman"/>
                <w:i/>
                <w:iCs/>
                <w:color w:val="000000"/>
                <w:vertAlign w:val="subscript"/>
              </w:rPr>
              <w:t>MAX</w:t>
            </w:r>
            <w:r w:rsidR="001D7053">
              <w:rPr>
                <w:rFonts w:ascii="Calibri" w:eastAsia="Times New Roman" w:hAnsi="Calibri" w:cs="Times New Roman"/>
                <w:color w:val="000000"/>
              </w:rPr>
              <w:t xml:space="preserve"> is the maximum observed </w:t>
            </w:r>
            <w:r w:rsidR="001D7053" w:rsidRPr="00660279">
              <w:rPr>
                <w:rFonts w:ascii="Calibri" w:eastAsia="Times New Roman" w:hAnsi="Calibri" w:cs="Times New Roman"/>
                <w:i/>
                <w:iCs/>
                <w:color w:val="000000"/>
              </w:rPr>
              <w:t>TB</w:t>
            </w:r>
            <w:r w:rsidR="001D7053">
              <w:rPr>
                <w:rFonts w:ascii="Calibri" w:eastAsia="Times New Roman" w:hAnsi="Calibri" w:cs="Times New Roman"/>
                <w:color w:val="000000"/>
              </w:rPr>
              <w:t xml:space="preserve"> in the input time series</w:t>
            </w:r>
            <w:r w:rsidR="00EB65F6">
              <w:rPr>
                <w:rFonts w:ascii="Calibri" w:eastAsia="Times New Roman" w:hAnsi="Calibri" w:cs="Times New Roman"/>
                <w:color w:val="000000"/>
              </w:rPr>
              <w:t xml:space="preserve"> (ignored if </w:t>
            </w:r>
            <w:r w:rsidR="00EB65F6">
              <w:rPr>
                <w:rFonts w:ascii="Calibri" w:eastAsia="Times New Roman" w:hAnsi="Calibri" w:cs="Times New Roman"/>
                <w:i/>
                <w:iCs/>
                <w:color w:val="000000"/>
              </w:rPr>
              <w:t>TB</w:t>
            </w:r>
            <w:r w:rsidR="00EB65F6" w:rsidRPr="00EB65F6">
              <w:rPr>
                <w:rFonts w:ascii="Calibri" w:eastAsia="Times New Roman" w:hAnsi="Calibri" w:cs="Times New Roman"/>
                <w:i/>
                <w:iCs/>
                <w:color w:val="000000"/>
                <w:vertAlign w:val="subscript"/>
              </w:rPr>
              <w:t>MSY</w:t>
            </w:r>
            <w:r w:rsidR="00EB65F6">
              <w:rPr>
                <w:rFonts w:ascii="Calibri" w:eastAsia="Times New Roman" w:hAnsi="Calibri" w:cs="Times New Roman"/>
                <w:color w:val="000000"/>
              </w:rPr>
              <w:t xml:space="preserve"> is not estimated)</w:t>
            </w:r>
          </w:p>
        </w:tc>
      </w:tr>
      <w:tr w:rsidR="00236658" w:rsidRPr="00236658" w14:paraId="4AACC835" w14:textId="77777777" w:rsidTr="00660279">
        <w:trPr>
          <w:trHeight w:val="300"/>
        </w:trPr>
        <w:tc>
          <w:tcPr>
            <w:tcW w:w="960" w:type="dxa"/>
            <w:shd w:val="clear" w:color="auto" w:fill="auto"/>
            <w:noWrap/>
            <w:vAlign w:val="bottom"/>
            <w:hideMark/>
          </w:tcPr>
          <w:p w14:paraId="18B2E681"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6</w:t>
            </w:r>
          </w:p>
        </w:tc>
        <w:tc>
          <w:tcPr>
            <w:tcW w:w="7425" w:type="dxa"/>
            <w:shd w:val="clear" w:color="auto" w:fill="auto"/>
            <w:noWrap/>
            <w:vAlign w:val="bottom"/>
            <w:hideMark/>
          </w:tcPr>
          <w:p w14:paraId="2241A03B" w14:textId="16ACCE41" w:rsidR="00236658" w:rsidRPr="00236658" w:rsidRDefault="00236658" w:rsidP="00236658">
            <w:pPr>
              <w:spacing w:after="0" w:line="240" w:lineRule="auto"/>
              <w:rPr>
                <w:rFonts w:ascii="Calibri" w:eastAsia="Times New Roman" w:hAnsi="Calibri" w:cs="Times New Roman"/>
                <w:color w:val="000000"/>
              </w:rPr>
            </w:pPr>
            <w:r w:rsidRPr="00660279">
              <w:rPr>
                <w:rFonts w:ascii="Calibri" w:eastAsia="Times New Roman" w:hAnsi="Calibri" w:cs="Times New Roman"/>
                <w:i/>
                <w:iCs/>
                <w:color w:val="000000"/>
              </w:rPr>
              <w:t>TB</w:t>
            </w:r>
            <w:r w:rsidR="00660279" w:rsidRPr="00660279">
              <w:rPr>
                <w:rFonts w:ascii="Calibri" w:eastAsia="Times New Roman" w:hAnsi="Calibri" w:cs="Times New Roman"/>
                <w:i/>
                <w:iCs/>
                <w:color w:val="000000"/>
                <w:vertAlign w:val="subscript"/>
              </w:rPr>
              <w:t>MSY</w:t>
            </w:r>
            <w:r w:rsidR="001D7053">
              <w:rPr>
                <w:rFonts w:ascii="Calibri" w:eastAsia="Times New Roman" w:hAnsi="Calibri" w:cs="Times New Roman"/>
                <w:color w:val="000000"/>
              </w:rPr>
              <w:t xml:space="preserve"> estimate</w:t>
            </w:r>
            <w:r w:rsidRPr="00236658">
              <w:rPr>
                <w:rFonts w:ascii="Calibri" w:eastAsia="Times New Roman" w:hAnsi="Calibri" w:cs="Times New Roman"/>
                <w:color w:val="000000"/>
              </w:rPr>
              <w:t xml:space="preserve"> &lt; 2</w:t>
            </w:r>
            <w:r w:rsidR="00ED78B1">
              <w:rPr>
                <w:rFonts w:ascii="Calibri" w:eastAsia="Times New Roman" w:hAnsi="Calibri" w:cs="Times New Roman"/>
                <w:color w:val="000000"/>
              </w:rPr>
              <w:t>.085</w:t>
            </w:r>
            <w:r w:rsidRPr="00236658">
              <w:rPr>
                <w:rFonts w:ascii="Calibri" w:eastAsia="Times New Roman" w:hAnsi="Calibri" w:cs="Times New Roman"/>
                <w:color w:val="000000"/>
              </w:rPr>
              <w:t>*</w:t>
            </w:r>
            <w:r w:rsidRPr="00660279">
              <w:rPr>
                <w:rFonts w:ascii="Calibri" w:eastAsia="Times New Roman" w:hAnsi="Calibri" w:cs="Times New Roman"/>
                <w:i/>
                <w:iCs/>
                <w:color w:val="000000"/>
              </w:rPr>
              <w:t>TB</w:t>
            </w:r>
            <w:r w:rsidR="00660279" w:rsidRPr="00660279">
              <w:rPr>
                <w:rFonts w:ascii="Calibri" w:eastAsia="Times New Roman" w:hAnsi="Calibri" w:cs="Times New Roman"/>
                <w:i/>
                <w:iCs/>
                <w:color w:val="000000"/>
                <w:vertAlign w:val="subscript"/>
              </w:rPr>
              <w:t>MAX</w:t>
            </w:r>
            <w:r w:rsidR="00EB65F6">
              <w:rPr>
                <w:rFonts w:ascii="Calibri" w:eastAsia="Times New Roman" w:hAnsi="Calibri" w:cs="Times New Roman"/>
                <w:i/>
                <w:iCs/>
                <w:color w:val="000000"/>
                <w:vertAlign w:val="subscript"/>
              </w:rPr>
              <w:t xml:space="preserve"> </w:t>
            </w:r>
            <w:r w:rsidR="00EB65F6">
              <w:rPr>
                <w:rFonts w:ascii="Calibri" w:eastAsia="Times New Roman" w:hAnsi="Calibri" w:cs="Times New Roman"/>
                <w:color w:val="000000"/>
              </w:rPr>
              <w:t xml:space="preserve">(ignored if </w:t>
            </w:r>
            <w:r w:rsidR="00EB65F6">
              <w:rPr>
                <w:rFonts w:ascii="Calibri" w:eastAsia="Times New Roman" w:hAnsi="Calibri" w:cs="Times New Roman"/>
                <w:i/>
                <w:iCs/>
                <w:color w:val="000000"/>
              </w:rPr>
              <w:t>TB</w:t>
            </w:r>
            <w:r w:rsidR="00EB65F6" w:rsidRPr="00EB65F6">
              <w:rPr>
                <w:rFonts w:ascii="Calibri" w:eastAsia="Times New Roman" w:hAnsi="Calibri" w:cs="Times New Roman"/>
                <w:i/>
                <w:iCs/>
                <w:color w:val="000000"/>
                <w:vertAlign w:val="subscript"/>
              </w:rPr>
              <w:t>MSY</w:t>
            </w:r>
            <w:r w:rsidR="00EB65F6">
              <w:rPr>
                <w:rFonts w:ascii="Calibri" w:eastAsia="Times New Roman" w:hAnsi="Calibri" w:cs="Times New Roman"/>
                <w:color w:val="000000"/>
              </w:rPr>
              <w:t xml:space="preserve"> is not estimated)</w:t>
            </w:r>
          </w:p>
        </w:tc>
      </w:tr>
      <w:tr w:rsidR="008334AD" w:rsidRPr="00236658" w14:paraId="04AC1970" w14:textId="77777777" w:rsidTr="00660279">
        <w:trPr>
          <w:trHeight w:val="300"/>
        </w:trPr>
        <w:tc>
          <w:tcPr>
            <w:tcW w:w="960" w:type="dxa"/>
            <w:shd w:val="clear" w:color="auto" w:fill="auto"/>
            <w:noWrap/>
            <w:vAlign w:val="bottom"/>
          </w:tcPr>
          <w:p w14:paraId="61896BC0" w14:textId="77777777" w:rsidR="008334AD" w:rsidRPr="00236658" w:rsidRDefault="008334AD" w:rsidP="00236658">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7425" w:type="dxa"/>
            <w:shd w:val="clear" w:color="auto" w:fill="auto"/>
            <w:noWrap/>
            <w:vAlign w:val="bottom"/>
          </w:tcPr>
          <w:p w14:paraId="6FF77E10" w14:textId="0BBC4EF4" w:rsidR="008334AD" w:rsidRPr="00236658" w:rsidRDefault="008334AD" w:rsidP="00236658">
            <w:pPr>
              <w:spacing w:after="0" w:line="240" w:lineRule="auto"/>
              <w:rPr>
                <w:rFonts w:ascii="Calibri" w:eastAsia="Times New Roman" w:hAnsi="Calibri" w:cs="Times New Roman"/>
                <w:color w:val="000000"/>
              </w:rPr>
            </w:pPr>
            <w:proofErr w:type="gramStart"/>
            <w:r w:rsidRPr="00600263">
              <w:rPr>
                <w:rFonts w:ascii="Calibri" w:eastAsia="Times New Roman" w:hAnsi="Calibri" w:cs="Times New Roman"/>
                <w:i/>
                <w:color w:val="000000"/>
              </w:rPr>
              <w:t>f</w:t>
            </w:r>
            <w:r>
              <w:rPr>
                <w:rFonts w:ascii="Calibri" w:eastAsia="Times New Roman" w:hAnsi="Calibri" w:cs="Times New Roman"/>
                <w:color w:val="000000"/>
              </w:rPr>
              <w:t>(</w:t>
            </w:r>
            <w:proofErr w:type="gramEnd"/>
            <w:r>
              <w:rPr>
                <w:rFonts w:ascii="Calibri" w:eastAsia="Times New Roman" w:hAnsi="Calibri" w:cs="Times New Roman"/>
                <w:color w:val="000000"/>
              </w:rPr>
              <w:t xml:space="preserve">assessment </w:t>
            </w:r>
            <w:r w:rsidR="001D7053" w:rsidRPr="00660279">
              <w:rPr>
                <w:rFonts w:ascii="Calibri" w:eastAsia="Times New Roman" w:hAnsi="Calibri" w:cs="Times New Roman"/>
                <w:i/>
                <w:iCs/>
                <w:color w:val="000000"/>
              </w:rPr>
              <w:t>T</w:t>
            </w:r>
            <w:r w:rsidRPr="00660279">
              <w:rPr>
                <w:rFonts w:ascii="Calibri" w:eastAsia="Times New Roman" w:hAnsi="Calibri" w:cs="Times New Roman"/>
                <w:i/>
                <w:iCs/>
                <w:color w:val="000000"/>
              </w:rPr>
              <w:t>B</w:t>
            </w:r>
            <w:r w:rsidR="00660279" w:rsidRPr="00660279">
              <w:rPr>
                <w:rFonts w:ascii="Calibri" w:eastAsia="Times New Roman" w:hAnsi="Calibri" w:cs="Times New Roman"/>
                <w:i/>
                <w:iCs/>
                <w:color w:val="000000"/>
                <w:vertAlign w:val="subscript"/>
              </w:rPr>
              <w:t>MSY</w:t>
            </w:r>
            <w:r>
              <w:rPr>
                <w:rFonts w:ascii="Calibri" w:eastAsia="Times New Roman" w:hAnsi="Calibri" w:cs="Times New Roman"/>
                <w:color w:val="000000"/>
              </w:rPr>
              <w:t>)</w:t>
            </w:r>
            <w:r w:rsidR="00557358">
              <w:rPr>
                <w:rFonts w:ascii="Calibri" w:eastAsia="Times New Roman" w:hAnsi="Calibri" w:cs="Times New Roman"/>
                <w:color w:val="000000"/>
              </w:rPr>
              <w:t xml:space="preserve"> &gt; 0</w:t>
            </w:r>
            <w:r w:rsidR="001D7053">
              <w:rPr>
                <w:rFonts w:ascii="Calibri" w:eastAsia="Times New Roman" w:hAnsi="Calibri" w:cs="Times New Roman"/>
                <w:color w:val="000000"/>
              </w:rPr>
              <w:t xml:space="preserve">, i.e. predicted </w:t>
            </w:r>
            <w:r w:rsidR="001D7053" w:rsidRPr="00660279">
              <w:rPr>
                <w:rFonts w:ascii="Calibri" w:eastAsia="Times New Roman" w:hAnsi="Calibri" w:cs="Times New Roman"/>
                <w:i/>
                <w:iCs/>
                <w:color w:val="000000"/>
              </w:rPr>
              <w:t>SP</w:t>
            </w:r>
            <w:r w:rsidR="001D7053">
              <w:rPr>
                <w:rFonts w:ascii="Calibri" w:eastAsia="Times New Roman" w:hAnsi="Calibri" w:cs="Times New Roman"/>
                <w:color w:val="000000"/>
              </w:rPr>
              <w:t xml:space="preserve"> evaluated at the assessment-estimated value of </w:t>
            </w:r>
            <w:r w:rsidR="001D7053" w:rsidRPr="00660279">
              <w:rPr>
                <w:rFonts w:ascii="Calibri" w:eastAsia="Times New Roman" w:hAnsi="Calibri" w:cs="Times New Roman"/>
                <w:i/>
                <w:iCs/>
                <w:color w:val="000000"/>
              </w:rPr>
              <w:t>TB</w:t>
            </w:r>
            <w:r w:rsidR="00660279" w:rsidRPr="00660279">
              <w:rPr>
                <w:rFonts w:ascii="Calibri" w:eastAsia="Times New Roman" w:hAnsi="Calibri" w:cs="Times New Roman"/>
                <w:i/>
                <w:iCs/>
                <w:color w:val="000000"/>
                <w:vertAlign w:val="subscript"/>
              </w:rPr>
              <w:t>MSY</w:t>
            </w:r>
            <w:r w:rsidR="001D7053">
              <w:rPr>
                <w:rFonts w:ascii="Calibri" w:eastAsia="Times New Roman" w:hAnsi="Calibri" w:cs="Times New Roman"/>
                <w:color w:val="000000"/>
              </w:rPr>
              <w:t xml:space="preserve"> must be positive</w:t>
            </w:r>
            <w:r w:rsidR="00EB65F6">
              <w:rPr>
                <w:rFonts w:ascii="Calibri" w:eastAsia="Times New Roman" w:hAnsi="Calibri" w:cs="Times New Roman"/>
                <w:color w:val="000000"/>
              </w:rPr>
              <w:t xml:space="preserve"> (ignored if there is no assessment </w:t>
            </w:r>
            <w:r w:rsidR="00EB65F6">
              <w:rPr>
                <w:rFonts w:ascii="Calibri" w:eastAsia="Times New Roman" w:hAnsi="Calibri" w:cs="Times New Roman"/>
                <w:i/>
                <w:iCs/>
                <w:color w:val="000000"/>
              </w:rPr>
              <w:t>TB</w:t>
            </w:r>
            <w:r w:rsidR="00EB65F6" w:rsidRPr="00EB65F6">
              <w:rPr>
                <w:rFonts w:ascii="Calibri" w:eastAsia="Times New Roman" w:hAnsi="Calibri" w:cs="Times New Roman"/>
                <w:i/>
                <w:iCs/>
                <w:color w:val="000000"/>
                <w:vertAlign w:val="subscript"/>
              </w:rPr>
              <w:t>MSY</w:t>
            </w:r>
            <w:r w:rsidR="00EB65F6">
              <w:rPr>
                <w:rFonts w:ascii="Calibri" w:eastAsia="Times New Roman" w:hAnsi="Calibri" w:cs="Times New Roman"/>
                <w:color w:val="000000"/>
              </w:rPr>
              <w:t>)</w:t>
            </w:r>
          </w:p>
        </w:tc>
      </w:tr>
      <w:tr w:rsidR="008334AD" w:rsidRPr="00236658" w14:paraId="2391EF49" w14:textId="77777777" w:rsidTr="00660279">
        <w:trPr>
          <w:trHeight w:val="300"/>
        </w:trPr>
        <w:tc>
          <w:tcPr>
            <w:tcW w:w="960" w:type="dxa"/>
            <w:shd w:val="clear" w:color="auto" w:fill="auto"/>
            <w:noWrap/>
            <w:vAlign w:val="center"/>
          </w:tcPr>
          <w:p w14:paraId="59588746" w14:textId="77777777" w:rsidR="008334AD" w:rsidRPr="00236658" w:rsidRDefault="008334AD" w:rsidP="00F62E55">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7425" w:type="dxa"/>
            <w:shd w:val="clear" w:color="auto" w:fill="auto"/>
            <w:noWrap/>
            <w:vAlign w:val="bottom"/>
          </w:tcPr>
          <w:p w14:paraId="344A5B00" w14:textId="77777777" w:rsidR="008334AD" w:rsidRPr="00236658" w:rsidRDefault="001D7053" w:rsidP="0060026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Calculated AIC value of the surplus production model fit to observed annual SP data points is lower than the calculated AIC values of all three linear models fit to the same observed annual </w:t>
            </w:r>
            <w:r w:rsidRPr="00660279">
              <w:rPr>
                <w:rFonts w:ascii="Calibri" w:eastAsia="Times New Roman" w:hAnsi="Calibri" w:cs="Times New Roman"/>
                <w:i/>
                <w:iCs/>
                <w:color w:val="000000"/>
              </w:rPr>
              <w:t>SP</w:t>
            </w:r>
            <w:r>
              <w:rPr>
                <w:rFonts w:ascii="Calibri" w:eastAsia="Times New Roman" w:hAnsi="Calibri" w:cs="Times New Roman"/>
                <w:color w:val="000000"/>
              </w:rPr>
              <w:t xml:space="preserve"> data points</w:t>
            </w:r>
            <w:r w:rsidR="00600263">
              <w:rPr>
                <w:rFonts w:ascii="Calibri" w:eastAsia="Times New Roman" w:hAnsi="Calibri" w:cs="Times New Roman"/>
                <w:color w:val="000000"/>
              </w:rPr>
              <w:t>.</w:t>
            </w:r>
            <w:r>
              <w:rPr>
                <w:rFonts w:ascii="Calibri" w:eastAsia="Times New Roman" w:hAnsi="Calibri" w:cs="Times New Roman"/>
                <w:color w:val="000000"/>
              </w:rPr>
              <w:t xml:space="preserve"> </w:t>
            </w:r>
            <w:r w:rsidR="00600263">
              <w:rPr>
                <w:rFonts w:ascii="Calibri" w:eastAsia="Times New Roman" w:hAnsi="Calibri" w:cs="Times New Roman"/>
                <w:color w:val="000000"/>
              </w:rPr>
              <w:t>B</w:t>
            </w:r>
            <w:r>
              <w:rPr>
                <w:rFonts w:ascii="Calibri" w:eastAsia="Times New Roman" w:hAnsi="Calibri" w:cs="Times New Roman"/>
                <w:color w:val="000000"/>
              </w:rPr>
              <w:t xml:space="preserve">oth </w:t>
            </w:r>
            <w:r w:rsidRPr="00660279">
              <w:rPr>
                <w:rFonts w:ascii="Calibri" w:eastAsia="Times New Roman" w:hAnsi="Calibri" w:cs="Times New Roman"/>
                <w:i/>
                <w:iCs/>
                <w:color w:val="000000"/>
              </w:rPr>
              <w:t>SP</w:t>
            </w:r>
            <w:r>
              <w:rPr>
                <w:rFonts w:ascii="Calibri" w:eastAsia="Times New Roman" w:hAnsi="Calibri" w:cs="Times New Roman"/>
                <w:color w:val="000000"/>
              </w:rPr>
              <w:t xml:space="preserve"> model fits and linear model fits involve surplus production on the vertical axis and total biomass on the horizontal axis. Linear models </w:t>
            </w:r>
            <w:proofErr w:type="gramStart"/>
            <w:r>
              <w:rPr>
                <w:rFonts w:ascii="Calibri" w:eastAsia="Times New Roman" w:hAnsi="Calibri" w:cs="Times New Roman"/>
                <w:color w:val="000000"/>
              </w:rPr>
              <w:t>include:</w:t>
            </w:r>
            <w:proofErr w:type="gramEnd"/>
            <w:r>
              <w:rPr>
                <w:rFonts w:ascii="Calibri" w:eastAsia="Times New Roman" w:hAnsi="Calibri" w:cs="Times New Roman"/>
                <w:color w:val="000000"/>
              </w:rPr>
              <w:t xml:space="preserve"> freely varying </w:t>
            </w:r>
            <w:r w:rsidRPr="00660279">
              <w:rPr>
                <w:rFonts w:ascii="Calibri" w:eastAsia="Times New Roman" w:hAnsi="Calibri" w:cs="Times New Roman"/>
                <w:i/>
                <w:iCs/>
                <w:color w:val="000000"/>
              </w:rPr>
              <w:t>SP</w:t>
            </w:r>
            <w:r>
              <w:rPr>
                <w:rFonts w:ascii="Calibri" w:eastAsia="Times New Roman" w:hAnsi="Calibri" w:cs="Times New Roman"/>
                <w:color w:val="000000"/>
              </w:rPr>
              <w:t xml:space="preserve"> intercept with slope = 0 (1 parameter), freely-varying slope with fixed intercept of </w:t>
            </w:r>
            <w:r w:rsidRPr="00660279">
              <w:rPr>
                <w:rFonts w:ascii="Calibri" w:eastAsia="Times New Roman" w:hAnsi="Calibri" w:cs="Times New Roman"/>
                <w:i/>
                <w:iCs/>
                <w:color w:val="000000"/>
              </w:rPr>
              <w:t>SP</w:t>
            </w:r>
            <w:r>
              <w:rPr>
                <w:rFonts w:ascii="Calibri" w:eastAsia="Times New Roman" w:hAnsi="Calibri" w:cs="Times New Roman"/>
                <w:color w:val="000000"/>
              </w:rPr>
              <w:t xml:space="preserve"> = 0 (1 param</w:t>
            </w:r>
            <w:r w:rsidR="005239FB">
              <w:rPr>
                <w:rFonts w:ascii="Calibri" w:eastAsia="Times New Roman" w:hAnsi="Calibri" w:cs="Times New Roman"/>
                <w:color w:val="000000"/>
              </w:rPr>
              <w:t>e</w:t>
            </w:r>
            <w:r>
              <w:rPr>
                <w:rFonts w:ascii="Calibri" w:eastAsia="Times New Roman" w:hAnsi="Calibri" w:cs="Times New Roman"/>
                <w:color w:val="000000"/>
              </w:rPr>
              <w:t>ter), and freely-varying slope and intercept (2 parameters).</w:t>
            </w:r>
          </w:p>
        </w:tc>
      </w:tr>
    </w:tbl>
    <w:p w14:paraId="309586A8" w14:textId="77777777" w:rsidR="00C074D2" w:rsidRDefault="00C074D2"/>
    <w:p w14:paraId="735BAB47" w14:textId="77777777" w:rsidR="00C074D2" w:rsidRDefault="00C074D2"/>
    <w:p w14:paraId="1EC6B13D" w14:textId="77777777" w:rsidR="00154885" w:rsidRDefault="00154885"/>
    <w:p w14:paraId="478A411C" w14:textId="77777777" w:rsidR="00154885" w:rsidRDefault="00154885"/>
    <w:p w14:paraId="1DF0A1BF" w14:textId="77777777" w:rsidR="00154885" w:rsidRDefault="00154885"/>
    <w:p w14:paraId="3379D64F" w14:textId="77777777" w:rsidR="00AA62EF" w:rsidRPr="005245AF" w:rsidRDefault="007E06BA" w:rsidP="00887C99">
      <w:pPr>
        <w:jc w:val="center"/>
        <w:rPr>
          <w:b/>
          <w:sz w:val="32"/>
          <w:szCs w:val="32"/>
        </w:rPr>
      </w:pPr>
      <w:r w:rsidRPr="005245AF">
        <w:rPr>
          <w:b/>
          <w:sz w:val="32"/>
          <w:szCs w:val="32"/>
        </w:rPr>
        <w:t xml:space="preserve">Model </w:t>
      </w:r>
      <w:r w:rsidR="00887C99" w:rsidRPr="005245AF">
        <w:rPr>
          <w:b/>
          <w:sz w:val="32"/>
          <w:szCs w:val="32"/>
        </w:rPr>
        <w:t>Functions</w:t>
      </w:r>
      <w:r w:rsidR="00445594" w:rsidRPr="005245AF">
        <w:rPr>
          <w:b/>
          <w:sz w:val="32"/>
          <w:szCs w:val="32"/>
        </w:rPr>
        <w:t xml:space="preserve"> (Appendix 1)</w:t>
      </w:r>
    </w:p>
    <w:p w14:paraId="641F57D5" w14:textId="77777777" w:rsidR="00AA62EF" w:rsidRDefault="00AA62EF">
      <w:r w:rsidRPr="00AA62EF">
        <w:rPr>
          <w:noProof/>
        </w:rPr>
        <mc:AlternateContent>
          <mc:Choice Requires="wps">
            <w:drawing>
              <wp:anchor distT="0" distB="0" distL="114300" distR="114300" simplePos="0" relativeHeight="251659264" behindDoc="0" locked="0" layoutInCell="1" allowOverlap="1" wp14:anchorId="54658D32" wp14:editId="56E6932D">
                <wp:simplePos x="0" y="0"/>
                <wp:positionH relativeFrom="column">
                  <wp:posOffset>-762000</wp:posOffset>
                </wp:positionH>
                <wp:positionV relativeFrom="paragraph">
                  <wp:posOffset>205740</wp:posOffset>
                </wp:positionV>
                <wp:extent cx="7391400" cy="714375"/>
                <wp:effectExtent l="0" t="0" r="0" b="0"/>
                <wp:wrapNone/>
                <wp:docPr id="6" name="TextBox 5"/>
                <wp:cNvGraphicFramePr/>
                <a:graphic xmlns:a="http://schemas.openxmlformats.org/drawingml/2006/main">
                  <a:graphicData uri="http://schemas.microsoft.com/office/word/2010/wordprocessingShape">
                    <wps:wsp>
                      <wps:cNvSpPr txBox="1"/>
                      <wps:spPr>
                        <a:xfrm>
                          <a:off x="0" y="0"/>
                          <a:ext cx="7391400" cy="714375"/>
                        </a:xfrm>
                        <a:prstGeom prst="rect">
                          <a:avLst/>
                        </a:prstGeom>
                        <a:noFill/>
                      </wps:spPr>
                      <wps:txbx>
                        <w:txbxContent>
                          <w:p w14:paraId="74E36082" w14:textId="77777777" w:rsidR="002F1CBF" w:rsidRPr="005239FB" w:rsidRDefault="002F1CBF" w:rsidP="00AA62E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pred_SP=</m:t>
                                </m:r>
                                <m:d>
                                  <m:dPr>
                                    <m:begChr m:val="["/>
                                    <m:endChr m:val="]"/>
                                    <m:ctrlPr>
                                      <w:rPr>
                                        <w:rFonts w:ascii="Cambria Math" w:hAnsi="Cambria Math" w:cstheme="minorBidi"/>
                                        <w:i/>
                                        <w:iCs/>
                                        <w:color w:val="000000" w:themeColor="text1"/>
                                        <w:kern w:val="24"/>
                                      </w:rPr>
                                    </m:ctrlPr>
                                  </m:dPr>
                                  <m:e>
                                    <m:d>
                                      <m:dPr>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p</m:t>
                                            </m:r>
                                          </m:num>
                                          <m:den>
                                            <m:r>
                                              <w:rPr>
                                                <w:rFonts w:ascii="Cambria Math" w:hAnsi="Cambria Math" w:cstheme="minorBidi"/>
                                                <w:color w:val="000000" w:themeColor="text1"/>
                                                <w:kern w:val="24"/>
                                              </w:rPr>
                                              <m:t>p-1</m:t>
                                            </m:r>
                                          </m:den>
                                        </m:f>
                                      </m:e>
                                    </m:d>
                                    <m:r>
                                      <w:rPr>
                                        <w:rFonts w:ascii="Cambria Math" w:eastAsia="Cambria Math" w:hAnsi="Cambria Math" w:cstheme="minorBidi"/>
                                        <w:color w:val="000000" w:themeColor="text1"/>
                                        <w:kern w:val="24"/>
                                      </w:rPr>
                                      <m:t>∙B∙ERmsy</m:t>
                                    </m:r>
                                  </m:e>
                                </m:d>
                                <m:r>
                                  <w:rPr>
                                    <w:rFonts w:ascii="Cambria Math" w:hAnsi="Cambria Math" w:cstheme="minorBidi"/>
                                    <w:color w:val="000000" w:themeColor="text1"/>
                                    <w:kern w:val="24"/>
                                  </w:rPr>
                                  <m:t>-</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ERmsy</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B</m:t>
                                            </m:r>
                                          </m:e>
                                          <m:sup>
                                            <m:r>
                                              <w:rPr>
                                                <w:rFonts w:ascii="Cambria Math" w:eastAsia="Cambria Math" w:hAnsi="Cambria Math" w:cstheme="minorBidi"/>
                                                <w:color w:val="000000" w:themeColor="text1"/>
                                                <w:kern w:val="24"/>
                                              </w:rPr>
                                              <m:t>p</m:t>
                                            </m:r>
                                          </m:sup>
                                        </m:sSup>
                                      </m:num>
                                      <m:den>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p-1</m:t>
                                            </m:r>
                                          </m:e>
                                        </m:d>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TBmsy</m:t>
                                            </m:r>
                                          </m:e>
                                          <m:sup>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p-1</m:t>
                                                </m:r>
                                              </m:e>
                                            </m:d>
                                          </m:sup>
                                        </m:sSup>
                                      </m:den>
                                    </m:f>
                                  </m:e>
                                </m:d>
                              </m:oMath>
                            </m:oMathPara>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4658D32" id="_x0000_t202" coordsize="21600,21600" o:spt="202" path="m,l,21600r21600,l21600,xe">
                <v:stroke joinstyle="miter"/>
                <v:path gradientshapeok="t" o:connecttype="rect"/>
              </v:shapetype>
              <v:shape id="TextBox 5" o:spid="_x0000_s1026" type="#_x0000_t202" style="position:absolute;margin-left:-60pt;margin-top:16.2pt;width:58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" filled="f" stroked="f">
                <v:textbox style="mso-fit-shape-to-text:t">
                  <w:txbxContent>
                    <w:p w14:paraId="74E36082" w14:textId="77777777" w:rsidR="002F1CBF" w:rsidRPr="005239FB" w:rsidRDefault="002F1CBF" w:rsidP="00AA62E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pred_SP=</m:t>
                          </m:r>
                          <m:d>
                            <m:dPr>
                              <m:begChr m:val="["/>
                              <m:endChr m:val="]"/>
                              <m:ctrlPr>
                                <w:rPr>
                                  <w:rFonts w:ascii="Cambria Math" w:hAnsi="Cambria Math" w:cstheme="minorBidi"/>
                                  <w:i/>
                                  <w:iCs/>
                                  <w:color w:val="000000" w:themeColor="text1"/>
                                  <w:kern w:val="24"/>
                                </w:rPr>
                              </m:ctrlPr>
                            </m:dPr>
                            <m:e>
                              <m:d>
                                <m:dPr>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p</m:t>
                                      </m:r>
                                    </m:num>
                                    <m:den>
                                      <m:r>
                                        <w:rPr>
                                          <w:rFonts w:ascii="Cambria Math" w:hAnsi="Cambria Math" w:cstheme="minorBidi"/>
                                          <w:color w:val="000000" w:themeColor="text1"/>
                                          <w:kern w:val="24"/>
                                        </w:rPr>
                                        <m:t>p-1</m:t>
                                      </m:r>
                                    </m:den>
                                  </m:f>
                                </m:e>
                              </m:d>
                              <m:r>
                                <w:rPr>
                                  <w:rFonts w:ascii="Cambria Math" w:eastAsia="Cambria Math" w:hAnsi="Cambria Math" w:cstheme="minorBidi"/>
                                  <w:color w:val="000000" w:themeColor="text1"/>
                                  <w:kern w:val="24"/>
                                </w:rPr>
                                <m:t>∙B∙ERmsy</m:t>
                              </m:r>
                            </m:e>
                          </m:d>
                          <m:r>
                            <w:rPr>
                              <w:rFonts w:ascii="Cambria Math" w:hAnsi="Cambria Math" w:cstheme="minorBidi"/>
                              <w:color w:val="000000" w:themeColor="text1"/>
                              <w:kern w:val="24"/>
                            </w:rPr>
                            <m:t>-</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ERmsy</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B</m:t>
                                      </m:r>
                                    </m:e>
                                    <m:sup>
                                      <m:r>
                                        <w:rPr>
                                          <w:rFonts w:ascii="Cambria Math" w:eastAsia="Cambria Math" w:hAnsi="Cambria Math" w:cstheme="minorBidi"/>
                                          <w:color w:val="000000" w:themeColor="text1"/>
                                          <w:kern w:val="24"/>
                                        </w:rPr>
                                        <m:t>p</m:t>
                                      </m:r>
                                    </m:sup>
                                  </m:sSup>
                                </m:num>
                                <m:den>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p-1</m:t>
                                      </m:r>
                                    </m:e>
                                  </m:d>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TBmsy</m:t>
                                      </m:r>
                                    </m:e>
                                    <m:sup>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p-1</m:t>
                                          </m:r>
                                        </m:e>
                                      </m:d>
                                    </m:sup>
                                  </m:sSup>
                                </m:den>
                              </m:f>
                            </m:e>
                          </m:d>
                        </m:oMath>
                      </m:oMathPara>
                    </w:p>
                  </w:txbxContent>
                </v:textbox>
              </v:shape>
            </w:pict>
          </mc:Fallback>
        </mc:AlternateContent>
      </w:r>
      <w:r w:rsidR="007E06BA">
        <w:t>This is the form of the Pella-Toml</w:t>
      </w:r>
      <w:r w:rsidR="001D7053">
        <w:t>inson used in the model-fitting:</w:t>
      </w:r>
    </w:p>
    <w:p w14:paraId="21797CFE" w14:textId="77777777" w:rsidR="00AA62EF" w:rsidRDefault="00AA62EF"/>
    <w:p w14:paraId="4CBCE45B" w14:textId="77777777" w:rsidR="000C34FC" w:rsidRDefault="000C34FC"/>
    <w:p w14:paraId="059146DC" w14:textId="77777777" w:rsidR="000C34FC" w:rsidRDefault="000C34FC"/>
    <w:p w14:paraId="31582A8F" w14:textId="77777777" w:rsidR="00AA62EF" w:rsidRDefault="00F62E55">
      <w:r>
        <w:t>These predicted values of annual surplus production estimates (</w:t>
      </w:r>
      <w:proofErr w:type="spellStart"/>
      <w:r>
        <w:t>pred_SP</w:t>
      </w:r>
      <w:proofErr w:type="spellEnd"/>
      <w:r>
        <w:t>) are fit to observed values of annual surplus production estimates</w:t>
      </w:r>
      <w:r w:rsidR="00536153">
        <w:t xml:space="preserve"> (SP)</w:t>
      </w:r>
      <w:r>
        <w:t>, which are calculated from assessment time series data as:</w:t>
      </w:r>
    </w:p>
    <w:p w14:paraId="1E65721D" w14:textId="77777777" w:rsidR="00AA62EF" w:rsidRPr="005239FB" w:rsidRDefault="00000000">
      <w:pPr>
        <w:rPr>
          <w:sz w:val="24"/>
          <w:szCs w:val="24"/>
        </w:rPr>
      </w:pPr>
      <m:oMathPara>
        <m:oMath>
          <m:sSub>
            <m:sSubPr>
              <m:ctrlPr>
                <w:rPr>
                  <w:rFonts w:ascii="Cambria Math" w:hAnsi="Cambria Math"/>
                  <w:i/>
                  <w:sz w:val="24"/>
                  <w:szCs w:val="24"/>
                </w:rPr>
              </m:ctrlPr>
            </m:sSubPr>
            <m:e>
              <m:r>
                <w:rPr>
                  <w:rFonts w:ascii="Cambria Math" w:hAnsi="Cambria Math"/>
                  <w:sz w:val="24"/>
                  <w:szCs w:val="24"/>
                </w:rPr>
                <m:t>SP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oMath>
      </m:oMathPara>
    </w:p>
    <w:p w14:paraId="34D784EC" w14:textId="77777777" w:rsidR="00536153" w:rsidRDefault="00536153">
      <w:r>
        <w:t>The regression function in ADMB is used</w:t>
      </w:r>
      <w:r w:rsidR="007A2664">
        <w:t xml:space="preserve"> with these time series inputs, which calculates the log-likelihood function of the nonlinear least-squares regression. </w:t>
      </w:r>
      <w:proofErr w:type="gramStart"/>
      <w:r w:rsidR="007A2664">
        <w:t>Additionally</w:t>
      </w:r>
      <w:proofErr w:type="gramEnd"/>
      <w:r w:rsidR="007A2664">
        <w:t xml:space="preserve"> some command-line options are implemented. The first option (</w:t>
      </w:r>
      <w:r w:rsidR="007A2664" w:rsidRPr="007A2664">
        <w:rPr>
          <w:b/>
        </w:rPr>
        <w:t>-</w:t>
      </w:r>
      <w:proofErr w:type="spellStart"/>
      <w:r w:rsidR="007A2664" w:rsidRPr="007A2664">
        <w:rPr>
          <w:b/>
        </w:rPr>
        <w:t>rs</w:t>
      </w:r>
      <w:proofErr w:type="spellEnd"/>
      <w:r w:rsidR="007A2664">
        <w:t>) rescales and tries again if no progress is made in the function minimizer. The second option (</w:t>
      </w:r>
      <w:r w:rsidR="007A2664" w:rsidRPr="007A2664">
        <w:rPr>
          <w:b/>
        </w:rPr>
        <w:t>-crit 1.e-8</w:t>
      </w:r>
      <w:r w:rsidR="007A2664">
        <w:t>) sets gradient magnitude convergence.</w:t>
      </w:r>
    </w:p>
    <w:p w14:paraId="4B132907" w14:textId="77777777" w:rsidR="007E06BA" w:rsidRDefault="00F62E55">
      <w:r>
        <w:lastRenderedPageBreak/>
        <w:t xml:space="preserve">In some cases, the shape parameter </w:t>
      </w:r>
      <w:r w:rsidRPr="00EB65F6">
        <w:rPr>
          <w:i/>
          <w:iCs/>
        </w:rPr>
        <w:t>p</w:t>
      </w:r>
      <w:r>
        <w:t xml:space="preserve"> is </w:t>
      </w:r>
      <w:proofErr w:type="gramStart"/>
      <w:r>
        <w:t>freely-varying</w:t>
      </w:r>
      <w:proofErr w:type="gramEnd"/>
      <w:r>
        <w:t>. For these cases we incorporate</w:t>
      </w:r>
      <w:r w:rsidR="007E06BA">
        <w:t xml:space="preserve"> a </w:t>
      </w:r>
      <w:r w:rsidR="00724616">
        <w:t xml:space="preserve">multiplicative </w:t>
      </w:r>
      <w:r w:rsidR="007E06BA">
        <w:t xml:space="preserve">penalty function (based on the Subbotin distribution due to its plateau-like shape) on </w:t>
      </w:r>
      <w:r w:rsidR="007E06BA" w:rsidRPr="00EB65F6">
        <w:rPr>
          <w:i/>
          <w:iCs/>
        </w:rPr>
        <w:t>p</w:t>
      </w:r>
      <w:r w:rsidR="007E06BA">
        <w:t xml:space="preserve"> parameter </w:t>
      </w:r>
      <w:r>
        <w:t xml:space="preserve">estimates </w:t>
      </w:r>
      <w:r w:rsidR="007E06BA">
        <w:t xml:space="preserve">to </w:t>
      </w:r>
      <w:r>
        <w:t>prevent</w:t>
      </w:r>
      <w:r w:rsidR="007E06BA">
        <w:t xml:space="preserve"> outlier values</w:t>
      </w:r>
      <w:r>
        <w:t xml:space="preserve"> outside the typical range of </w:t>
      </w:r>
      <w:r w:rsidRPr="00EB65F6">
        <w:rPr>
          <w:i/>
          <w:iCs/>
        </w:rPr>
        <w:t>p</w:t>
      </w:r>
      <w:r>
        <w:t>,</w:t>
      </w:r>
      <w:r w:rsidR="007E06BA">
        <w:t xml:space="preserve"> while avoiding </w:t>
      </w:r>
      <w:r>
        <w:t>placing hard boundaries on parameter values</w:t>
      </w:r>
      <w:r w:rsidR="007E06BA">
        <w:t xml:space="preserve">. </w:t>
      </w:r>
    </w:p>
    <w:p w14:paraId="3919BC79" w14:textId="77777777" w:rsidR="00887C99" w:rsidRPr="005239FB" w:rsidRDefault="00887C9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2∙σ∙</m:t>
              </m:r>
              <m:r>
                <m:rPr>
                  <m:sty m:val="p"/>
                </m:rPr>
                <w:rPr>
                  <w:rFonts w:ascii="Cambria Math" w:hAnsi="Cambria Math"/>
                  <w:sz w:val="24"/>
                  <w:szCs w:val="24"/>
                </w:rPr>
                <m:t>Γ</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m:t>
                      </m:r>
                    </m:den>
                  </m:f>
                </m:e>
              </m:d>
            </m:den>
          </m:f>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x-μ</m:t>
                              </m:r>
                            </m:e>
                          </m:d>
                        </m:num>
                        <m:den>
                          <m:r>
                            <w:rPr>
                              <w:rFonts w:ascii="Cambria Math" w:hAnsi="Cambria Math"/>
                              <w:sz w:val="24"/>
                              <w:szCs w:val="24"/>
                            </w:rPr>
                            <m:t>σ</m:t>
                          </m:r>
                        </m:den>
                      </m:f>
                    </m:e>
                  </m:d>
                </m:e>
                <m:sup>
                  <m:r>
                    <w:rPr>
                      <w:rFonts w:ascii="Cambria Math" w:hAnsi="Cambria Math"/>
                      <w:sz w:val="24"/>
                      <w:szCs w:val="24"/>
                    </w:rPr>
                    <m:t>β</m:t>
                  </m:r>
                </m:sup>
              </m:sSup>
            </m:e>
          </m:d>
        </m:oMath>
      </m:oMathPara>
    </w:p>
    <w:p w14:paraId="2B603A03" w14:textId="77777777" w:rsidR="00887C99" w:rsidRPr="005239FB" w:rsidRDefault="00887C99">
      <w:pPr>
        <w:rPr>
          <w:sz w:val="24"/>
          <w:szCs w:val="24"/>
        </w:rPr>
      </w:pPr>
      <m:oMathPara>
        <m:oMath>
          <m:r>
            <w:rPr>
              <w:rFonts w:ascii="Cambria Math" w:hAnsi="Cambria Math"/>
              <w:sz w:val="24"/>
              <w:szCs w:val="24"/>
            </w:rPr>
            <m:t>g=regression</m:t>
          </m:r>
          <m:d>
            <m:dPr>
              <m:ctrlPr>
                <w:rPr>
                  <w:rFonts w:ascii="Cambria Math" w:hAnsi="Cambria Math"/>
                  <w:i/>
                  <w:sz w:val="24"/>
                  <w:szCs w:val="24"/>
                </w:rPr>
              </m:ctrlPr>
            </m:dPr>
            <m:e>
              <m:r>
                <w:rPr>
                  <w:rFonts w:ascii="Cambria Math" w:hAnsi="Cambria Math"/>
                  <w:sz w:val="24"/>
                  <w:szCs w:val="24"/>
                </w:rPr>
                <m:t>SP,pred_SP</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f(μ)</m:t>
                  </m:r>
                </m:num>
                <m:den>
                  <m:r>
                    <w:rPr>
                      <w:rFonts w:ascii="Cambria Math" w:hAnsi="Cambria Math"/>
                      <w:sz w:val="24"/>
                      <w:szCs w:val="24"/>
                    </w:rPr>
                    <m:t>f(p)</m:t>
                  </m:r>
                </m:den>
              </m:f>
            </m:e>
          </m:d>
        </m:oMath>
      </m:oMathPara>
    </w:p>
    <w:p w14:paraId="259E4694" w14:textId="77777777" w:rsidR="00C074D2" w:rsidRDefault="007E06BA">
      <w:r>
        <w:t>These are the current values used in the penalty function.</w:t>
      </w:r>
    </w:p>
    <w:tbl>
      <w:tblPr>
        <w:tblW w:w="1920" w:type="dxa"/>
        <w:tblInd w:w="93" w:type="dxa"/>
        <w:tblLook w:val="04A0" w:firstRow="1" w:lastRow="0" w:firstColumn="1" w:lastColumn="0" w:noHBand="0" w:noVBand="1"/>
      </w:tblPr>
      <w:tblGrid>
        <w:gridCol w:w="960"/>
        <w:gridCol w:w="960"/>
      </w:tblGrid>
      <w:tr w:rsidR="00593632" w:rsidRPr="00593632" w14:paraId="02B7345B" w14:textId="77777777" w:rsidTr="00593632">
        <w:trPr>
          <w:trHeight w:val="300"/>
        </w:trPr>
        <w:tc>
          <w:tcPr>
            <w:tcW w:w="960" w:type="dxa"/>
            <w:tcBorders>
              <w:top w:val="nil"/>
              <w:left w:val="nil"/>
              <w:bottom w:val="nil"/>
              <w:right w:val="nil"/>
            </w:tcBorders>
            <w:shd w:val="clear" w:color="auto" w:fill="auto"/>
            <w:noWrap/>
            <w:vAlign w:val="bottom"/>
            <w:hideMark/>
          </w:tcPr>
          <w:p w14:paraId="44066C2A" w14:textId="77777777" w:rsidR="00593632" w:rsidRPr="00593632" w:rsidRDefault="00593632" w:rsidP="00593632">
            <w:pPr>
              <w:spacing w:after="0" w:line="240" w:lineRule="auto"/>
              <w:rPr>
                <w:rFonts w:ascii="Calibri" w:eastAsia="Times New Roman" w:hAnsi="Calibri" w:cs="Times New Roman"/>
                <w:b/>
                <w:color w:val="000000"/>
              </w:rPr>
            </w:pPr>
            <w:r w:rsidRPr="00593632">
              <w:rPr>
                <w:rFonts w:ascii="Calibri" w:eastAsia="Times New Roman" w:hAnsi="Calibri" w:cs="Times New Roman"/>
                <w:b/>
                <w:color w:val="000000"/>
              </w:rPr>
              <w:t>μ</w:t>
            </w:r>
          </w:p>
        </w:tc>
        <w:tc>
          <w:tcPr>
            <w:tcW w:w="960" w:type="dxa"/>
            <w:tcBorders>
              <w:top w:val="nil"/>
              <w:left w:val="nil"/>
              <w:bottom w:val="nil"/>
              <w:right w:val="nil"/>
            </w:tcBorders>
            <w:shd w:val="clear" w:color="auto" w:fill="auto"/>
            <w:noWrap/>
            <w:vAlign w:val="bottom"/>
            <w:hideMark/>
          </w:tcPr>
          <w:p w14:paraId="45705D47" w14:textId="77777777" w:rsidR="00593632" w:rsidRPr="00593632" w:rsidRDefault="00593632" w:rsidP="00593632">
            <w:pPr>
              <w:spacing w:after="0" w:line="240" w:lineRule="auto"/>
              <w:rPr>
                <w:rFonts w:ascii="Calibri" w:eastAsia="Times New Roman" w:hAnsi="Calibri" w:cs="Times New Roman"/>
                <w:color w:val="000000"/>
              </w:rPr>
            </w:pPr>
            <w:proofErr w:type="gramStart"/>
            <w:r w:rsidRPr="00EB65F6">
              <w:rPr>
                <w:rFonts w:ascii="Calibri" w:eastAsia="Times New Roman" w:hAnsi="Calibri" w:cs="Times New Roman"/>
                <w:i/>
                <w:iCs/>
                <w:color w:val="000000"/>
              </w:rPr>
              <w:t>ln</w:t>
            </w:r>
            <w:r w:rsidRPr="00593632">
              <w:rPr>
                <w:rFonts w:ascii="Calibri" w:eastAsia="Times New Roman" w:hAnsi="Calibri" w:cs="Times New Roman"/>
                <w:color w:val="000000"/>
              </w:rPr>
              <w:t>(</w:t>
            </w:r>
            <w:proofErr w:type="gramEnd"/>
            <w:r w:rsidRPr="00593632">
              <w:rPr>
                <w:rFonts w:ascii="Calibri" w:eastAsia="Times New Roman" w:hAnsi="Calibri" w:cs="Times New Roman"/>
                <w:color w:val="000000"/>
              </w:rPr>
              <w:t>1)</w:t>
            </w:r>
          </w:p>
        </w:tc>
      </w:tr>
      <w:tr w:rsidR="00593632" w:rsidRPr="00593632" w14:paraId="3DB9D24B" w14:textId="77777777" w:rsidTr="00593632">
        <w:trPr>
          <w:trHeight w:val="300"/>
        </w:trPr>
        <w:tc>
          <w:tcPr>
            <w:tcW w:w="960" w:type="dxa"/>
            <w:tcBorders>
              <w:top w:val="nil"/>
              <w:left w:val="nil"/>
              <w:bottom w:val="nil"/>
              <w:right w:val="nil"/>
            </w:tcBorders>
            <w:shd w:val="clear" w:color="auto" w:fill="auto"/>
            <w:noWrap/>
            <w:vAlign w:val="bottom"/>
            <w:hideMark/>
          </w:tcPr>
          <w:p w14:paraId="49602614" w14:textId="77777777" w:rsidR="00593632" w:rsidRPr="00593632" w:rsidRDefault="00593632" w:rsidP="00593632">
            <w:pPr>
              <w:spacing w:after="0" w:line="240" w:lineRule="auto"/>
              <w:rPr>
                <w:rFonts w:ascii="Calibri" w:eastAsia="Times New Roman" w:hAnsi="Calibri" w:cs="Times New Roman"/>
                <w:b/>
                <w:color w:val="000000"/>
              </w:rPr>
            </w:pPr>
            <w:r w:rsidRPr="00593632">
              <w:rPr>
                <w:rFonts w:ascii="Calibri" w:eastAsia="Times New Roman" w:hAnsi="Calibri" w:cs="Times New Roman"/>
                <w:b/>
                <w:color w:val="000000"/>
              </w:rPr>
              <w:t>β</w:t>
            </w:r>
          </w:p>
        </w:tc>
        <w:tc>
          <w:tcPr>
            <w:tcW w:w="960" w:type="dxa"/>
            <w:tcBorders>
              <w:top w:val="nil"/>
              <w:left w:val="nil"/>
              <w:bottom w:val="nil"/>
              <w:right w:val="nil"/>
            </w:tcBorders>
            <w:shd w:val="clear" w:color="auto" w:fill="auto"/>
            <w:noWrap/>
            <w:vAlign w:val="bottom"/>
            <w:hideMark/>
          </w:tcPr>
          <w:p w14:paraId="08A1AEC1" w14:textId="77777777" w:rsidR="00593632" w:rsidRPr="00593632" w:rsidRDefault="00593632" w:rsidP="00593632">
            <w:pPr>
              <w:spacing w:after="0" w:line="240" w:lineRule="auto"/>
              <w:rPr>
                <w:rFonts w:ascii="Calibri" w:eastAsia="Times New Roman" w:hAnsi="Calibri" w:cs="Times New Roman"/>
                <w:color w:val="000000"/>
              </w:rPr>
            </w:pPr>
            <w:r w:rsidRPr="00593632">
              <w:rPr>
                <w:rFonts w:ascii="Calibri" w:eastAsia="Times New Roman" w:hAnsi="Calibri" w:cs="Times New Roman"/>
                <w:color w:val="000000"/>
              </w:rPr>
              <w:t>10</w:t>
            </w:r>
          </w:p>
        </w:tc>
      </w:tr>
      <w:tr w:rsidR="00593632" w:rsidRPr="00593632" w14:paraId="480396A1" w14:textId="77777777" w:rsidTr="00593632">
        <w:trPr>
          <w:trHeight w:val="300"/>
        </w:trPr>
        <w:tc>
          <w:tcPr>
            <w:tcW w:w="960" w:type="dxa"/>
            <w:tcBorders>
              <w:top w:val="nil"/>
              <w:left w:val="nil"/>
              <w:bottom w:val="nil"/>
              <w:right w:val="nil"/>
            </w:tcBorders>
            <w:shd w:val="clear" w:color="auto" w:fill="auto"/>
            <w:noWrap/>
            <w:vAlign w:val="bottom"/>
            <w:hideMark/>
          </w:tcPr>
          <w:p w14:paraId="1CC55938" w14:textId="77777777" w:rsidR="00593632" w:rsidRPr="00593632" w:rsidRDefault="00593632" w:rsidP="00593632">
            <w:pPr>
              <w:spacing w:after="0" w:line="240" w:lineRule="auto"/>
              <w:rPr>
                <w:rFonts w:ascii="Calibri" w:eastAsia="Times New Roman" w:hAnsi="Calibri" w:cs="Times New Roman"/>
                <w:b/>
                <w:color w:val="000000"/>
              </w:rPr>
            </w:pPr>
            <w:r w:rsidRPr="00593632">
              <w:rPr>
                <w:rFonts w:ascii="Calibri" w:eastAsia="Times New Roman" w:hAnsi="Calibri" w:cs="Times New Roman"/>
                <w:b/>
                <w:color w:val="000000"/>
              </w:rPr>
              <w:t>σ</w:t>
            </w:r>
          </w:p>
        </w:tc>
        <w:tc>
          <w:tcPr>
            <w:tcW w:w="960" w:type="dxa"/>
            <w:tcBorders>
              <w:top w:val="nil"/>
              <w:left w:val="nil"/>
              <w:bottom w:val="nil"/>
              <w:right w:val="nil"/>
            </w:tcBorders>
            <w:shd w:val="clear" w:color="auto" w:fill="auto"/>
            <w:noWrap/>
            <w:vAlign w:val="bottom"/>
            <w:hideMark/>
          </w:tcPr>
          <w:p w14:paraId="59FC883E" w14:textId="77777777" w:rsidR="00593632" w:rsidRPr="00593632" w:rsidRDefault="00593632" w:rsidP="00593632">
            <w:pPr>
              <w:spacing w:after="0" w:line="240" w:lineRule="auto"/>
              <w:rPr>
                <w:rFonts w:ascii="Calibri" w:eastAsia="Times New Roman" w:hAnsi="Calibri" w:cs="Times New Roman"/>
                <w:color w:val="000000"/>
              </w:rPr>
            </w:pPr>
            <w:r w:rsidRPr="00593632">
              <w:rPr>
                <w:rFonts w:ascii="Calibri" w:eastAsia="Times New Roman" w:hAnsi="Calibri" w:cs="Times New Roman"/>
                <w:color w:val="000000"/>
              </w:rPr>
              <w:t>3</w:t>
            </w:r>
          </w:p>
        </w:tc>
      </w:tr>
    </w:tbl>
    <w:p w14:paraId="4CB66BBD" w14:textId="77777777" w:rsidR="00593632" w:rsidRDefault="00593632"/>
    <w:p w14:paraId="0D5015EB" w14:textId="77777777" w:rsidR="00864CAB" w:rsidRDefault="00864CAB"/>
    <w:sectPr w:rsidR="00864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CC65A" w14:textId="77777777" w:rsidR="0092482B" w:rsidRDefault="0092482B" w:rsidP="00C62231">
      <w:pPr>
        <w:spacing w:after="0" w:line="240" w:lineRule="auto"/>
      </w:pPr>
      <w:r>
        <w:separator/>
      </w:r>
    </w:p>
  </w:endnote>
  <w:endnote w:type="continuationSeparator" w:id="0">
    <w:p w14:paraId="24775703" w14:textId="77777777" w:rsidR="0092482B" w:rsidRDefault="0092482B" w:rsidP="00C62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7F610" w14:textId="77777777" w:rsidR="0092482B" w:rsidRDefault="0092482B" w:rsidP="00C62231">
      <w:pPr>
        <w:spacing w:after="0" w:line="240" w:lineRule="auto"/>
      </w:pPr>
      <w:r>
        <w:separator/>
      </w:r>
    </w:p>
  </w:footnote>
  <w:footnote w:type="continuationSeparator" w:id="0">
    <w:p w14:paraId="22136513" w14:textId="77777777" w:rsidR="0092482B" w:rsidRDefault="0092482B" w:rsidP="00C62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E442B"/>
    <w:multiLevelType w:val="hybridMultilevel"/>
    <w:tmpl w:val="275678D8"/>
    <w:lvl w:ilvl="0" w:tplc="4BB492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C33C5"/>
    <w:multiLevelType w:val="hybridMultilevel"/>
    <w:tmpl w:val="71FC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037AE"/>
    <w:multiLevelType w:val="hybridMultilevel"/>
    <w:tmpl w:val="38EE8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B3B06"/>
    <w:multiLevelType w:val="hybridMultilevel"/>
    <w:tmpl w:val="40324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44496">
    <w:abstractNumId w:val="1"/>
  </w:num>
  <w:num w:numId="2" w16cid:durableId="1920821818">
    <w:abstractNumId w:val="3"/>
  </w:num>
  <w:num w:numId="3" w16cid:durableId="1873414928">
    <w:abstractNumId w:val="2"/>
  </w:num>
  <w:num w:numId="4" w16cid:durableId="5986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F17"/>
    <w:rsid w:val="00033B1D"/>
    <w:rsid w:val="00073CBD"/>
    <w:rsid w:val="00074BCC"/>
    <w:rsid w:val="000B0083"/>
    <w:rsid w:val="000B37DE"/>
    <w:rsid w:val="000C34FC"/>
    <w:rsid w:val="000C7C31"/>
    <w:rsid w:val="000E32FA"/>
    <w:rsid w:val="00103395"/>
    <w:rsid w:val="00151CA4"/>
    <w:rsid w:val="00154885"/>
    <w:rsid w:val="00181710"/>
    <w:rsid w:val="0018510A"/>
    <w:rsid w:val="001A6B4B"/>
    <w:rsid w:val="001B17C4"/>
    <w:rsid w:val="001B2AE7"/>
    <w:rsid w:val="001B6AC7"/>
    <w:rsid w:val="001D3540"/>
    <w:rsid w:val="001D7053"/>
    <w:rsid w:val="001E5BC1"/>
    <w:rsid w:val="00236658"/>
    <w:rsid w:val="00247402"/>
    <w:rsid w:val="00263219"/>
    <w:rsid w:val="002A353C"/>
    <w:rsid w:val="002C1F9A"/>
    <w:rsid w:val="002F1CBF"/>
    <w:rsid w:val="002F6F17"/>
    <w:rsid w:val="00355695"/>
    <w:rsid w:val="00372924"/>
    <w:rsid w:val="00445594"/>
    <w:rsid w:val="00447251"/>
    <w:rsid w:val="004545CD"/>
    <w:rsid w:val="00484867"/>
    <w:rsid w:val="004C75D9"/>
    <w:rsid w:val="004D5C41"/>
    <w:rsid w:val="004E0820"/>
    <w:rsid w:val="0050623E"/>
    <w:rsid w:val="005239FB"/>
    <w:rsid w:val="005245AF"/>
    <w:rsid w:val="00536153"/>
    <w:rsid w:val="00557358"/>
    <w:rsid w:val="00563ABA"/>
    <w:rsid w:val="00564387"/>
    <w:rsid w:val="00593632"/>
    <w:rsid w:val="005A3058"/>
    <w:rsid w:val="005A502A"/>
    <w:rsid w:val="005C5CDE"/>
    <w:rsid w:val="00600263"/>
    <w:rsid w:val="00604D9A"/>
    <w:rsid w:val="00654BD2"/>
    <w:rsid w:val="00660279"/>
    <w:rsid w:val="00672A2A"/>
    <w:rsid w:val="00682FD9"/>
    <w:rsid w:val="006A4469"/>
    <w:rsid w:val="006D7B67"/>
    <w:rsid w:val="006F1D91"/>
    <w:rsid w:val="00707C6C"/>
    <w:rsid w:val="00724616"/>
    <w:rsid w:val="0073430B"/>
    <w:rsid w:val="00751B70"/>
    <w:rsid w:val="00797E6A"/>
    <w:rsid w:val="007A2664"/>
    <w:rsid w:val="007A5D63"/>
    <w:rsid w:val="007D2EB8"/>
    <w:rsid w:val="007E06BA"/>
    <w:rsid w:val="008334AD"/>
    <w:rsid w:val="00834F15"/>
    <w:rsid w:val="008435D6"/>
    <w:rsid w:val="0084461F"/>
    <w:rsid w:val="00864CAB"/>
    <w:rsid w:val="00867582"/>
    <w:rsid w:val="00887C99"/>
    <w:rsid w:val="008B7A06"/>
    <w:rsid w:val="008E1550"/>
    <w:rsid w:val="008E2E74"/>
    <w:rsid w:val="00921AC6"/>
    <w:rsid w:val="0092482B"/>
    <w:rsid w:val="00932880"/>
    <w:rsid w:val="00941DC7"/>
    <w:rsid w:val="00942C8E"/>
    <w:rsid w:val="00962EEE"/>
    <w:rsid w:val="009703BF"/>
    <w:rsid w:val="0098179B"/>
    <w:rsid w:val="009A3E5D"/>
    <w:rsid w:val="009B775E"/>
    <w:rsid w:val="00A1013D"/>
    <w:rsid w:val="00A44F55"/>
    <w:rsid w:val="00A943E0"/>
    <w:rsid w:val="00A94DC2"/>
    <w:rsid w:val="00AA62EF"/>
    <w:rsid w:val="00AB7810"/>
    <w:rsid w:val="00B15F68"/>
    <w:rsid w:val="00B2273E"/>
    <w:rsid w:val="00B2409A"/>
    <w:rsid w:val="00B30854"/>
    <w:rsid w:val="00B37142"/>
    <w:rsid w:val="00B454F4"/>
    <w:rsid w:val="00B5591D"/>
    <w:rsid w:val="00B62D1E"/>
    <w:rsid w:val="00B73FF0"/>
    <w:rsid w:val="00B8548A"/>
    <w:rsid w:val="00B9321F"/>
    <w:rsid w:val="00BB10CB"/>
    <w:rsid w:val="00C074D2"/>
    <w:rsid w:val="00C233F3"/>
    <w:rsid w:val="00C401E8"/>
    <w:rsid w:val="00C62231"/>
    <w:rsid w:val="00C63352"/>
    <w:rsid w:val="00C7315F"/>
    <w:rsid w:val="00C90A87"/>
    <w:rsid w:val="00CA58E8"/>
    <w:rsid w:val="00CC76BA"/>
    <w:rsid w:val="00D15F4D"/>
    <w:rsid w:val="00D17161"/>
    <w:rsid w:val="00D22BD6"/>
    <w:rsid w:val="00D27C20"/>
    <w:rsid w:val="00D34444"/>
    <w:rsid w:val="00D45882"/>
    <w:rsid w:val="00D479C2"/>
    <w:rsid w:val="00D61BD2"/>
    <w:rsid w:val="00D77893"/>
    <w:rsid w:val="00DA0180"/>
    <w:rsid w:val="00DA6456"/>
    <w:rsid w:val="00DA6BA1"/>
    <w:rsid w:val="00DB0F6B"/>
    <w:rsid w:val="00E011DC"/>
    <w:rsid w:val="00E06903"/>
    <w:rsid w:val="00E22BE1"/>
    <w:rsid w:val="00E60409"/>
    <w:rsid w:val="00EB5788"/>
    <w:rsid w:val="00EB65F6"/>
    <w:rsid w:val="00EC3FF8"/>
    <w:rsid w:val="00ED78B1"/>
    <w:rsid w:val="00F35983"/>
    <w:rsid w:val="00F62E55"/>
    <w:rsid w:val="00FE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D643"/>
  <w15:docId w15:val="{ACFFC96D-60D8-481C-BC6E-E5E78A25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2EF"/>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AA6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EF"/>
    <w:rPr>
      <w:rFonts w:ascii="Tahoma" w:hAnsi="Tahoma" w:cs="Tahoma"/>
      <w:sz w:val="16"/>
      <w:szCs w:val="16"/>
    </w:rPr>
  </w:style>
  <w:style w:type="character" w:styleId="PlaceholderText">
    <w:name w:val="Placeholder Text"/>
    <w:basedOn w:val="DefaultParagraphFont"/>
    <w:uiPriority w:val="99"/>
    <w:semiHidden/>
    <w:rsid w:val="00887C99"/>
    <w:rPr>
      <w:color w:val="808080"/>
    </w:rPr>
  </w:style>
  <w:style w:type="paragraph" w:styleId="ListParagraph">
    <w:name w:val="List Paragraph"/>
    <w:basedOn w:val="Normal"/>
    <w:uiPriority w:val="34"/>
    <w:qFormat/>
    <w:rsid w:val="00864CAB"/>
    <w:pPr>
      <w:ind w:left="720"/>
      <w:contextualSpacing/>
    </w:pPr>
  </w:style>
  <w:style w:type="paragraph" w:styleId="Header">
    <w:name w:val="header"/>
    <w:basedOn w:val="Normal"/>
    <w:link w:val="HeaderChar"/>
    <w:uiPriority w:val="99"/>
    <w:unhideWhenUsed/>
    <w:rsid w:val="00C62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31"/>
  </w:style>
  <w:style w:type="paragraph" w:styleId="Footer">
    <w:name w:val="footer"/>
    <w:basedOn w:val="Normal"/>
    <w:link w:val="FooterChar"/>
    <w:uiPriority w:val="99"/>
    <w:unhideWhenUsed/>
    <w:rsid w:val="00C62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31"/>
  </w:style>
  <w:style w:type="table" w:styleId="TableGrid">
    <w:name w:val="Table Grid"/>
    <w:basedOn w:val="TableNormal"/>
    <w:uiPriority w:val="59"/>
    <w:rsid w:val="001B6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228">
      <w:bodyDiv w:val="1"/>
      <w:marLeft w:val="0"/>
      <w:marRight w:val="0"/>
      <w:marTop w:val="0"/>
      <w:marBottom w:val="0"/>
      <w:divBdr>
        <w:top w:val="none" w:sz="0" w:space="0" w:color="auto"/>
        <w:left w:val="none" w:sz="0" w:space="0" w:color="auto"/>
        <w:bottom w:val="none" w:sz="0" w:space="0" w:color="auto"/>
        <w:right w:val="none" w:sz="0" w:space="0" w:color="auto"/>
      </w:divBdr>
    </w:div>
    <w:div w:id="33501773">
      <w:bodyDiv w:val="1"/>
      <w:marLeft w:val="0"/>
      <w:marRight w:val="0"/>
      <w:marTop w:val="0"/>
      <w:marBottom w:val="0"/>
      <w:divBdr>
        <w:top w:val="none" w:sz="0" w:space="0" w:color="auto"/>
        <w:left w:val="none" w:sz="0" w:space="0" w:color="auto"/>
        <w:bottom w:val="none" w:sz="0" w:space="0" w:color="auto"/>
        <w:right w:val="none" w:sz="0" w:space="0" w:color="auto"/>
      </w:divBdr>
    </w:div>
    <w:div w:id="65762427">
      <w:bodyDiv w:val="1"/>
      <w:marLeft w:val="0"/>
      <w:marRight w:val="0"/>
      <w:marTop w:val="0"/>
      <w:marBottom w:val="0"/>
      <w:divBdr>
        <w:top w:val="none" w:sz="0" w:space="0" w:color="auto"/>
        <w:left w:val="none" w:sz="0" w:space="0" w:color="auto"/>
        <w:bottom w:val="none" w:sz="0" w:space="0" w:color="auto"/>
        <w:right w:val="none" w:sz="0" w:space="0" w:color="auto"/>
      </w:divBdr>
    </w:div>
    <w:div w:id="99103718">
      <w:bodyDiv w:val="1"/>
      <w:marLeft w:val="0"/>
      <w:marRight w:val="0"/>
      <w:marTop w:val="0"/>
      <w:marBottom w:val="0"/>
      <w:divBdr>
        <w:top w:val="none" w:sz="0" w:space="0" w:color="auto"/>
        <w:left w:val="none" w:sz="0" w:space="0" w:color="auto"/>
        <w:bottom w:val="none" w:sz="0" w:space="0" w:color="auto"/>
        <w:right w:val="none" w:sz="0" w:space="0" w:color="auto"/>
      </w:divBdr>
    </w:div>
    <w:div w:id="120657059">
      <w:bodyDiv w:val="1"/>
      <w:marLeft w:val="0"/>
      <w:marRight w:val="0"/>
      <w:marTop w:val="0"/>
      <w:marBottom w:val="0"/>
      <w:divBdr>
        <w:top w:val="none" w:sz="0" w:space="0" w:color="auto"/>
        <w:left w:val="none" w:sz="0" w:space="0" w:color="auto"/>
        <w:bottom w:val="none" w:sz="0" w:space="0" w:color="auto"/>
        <w:right w:val="none" w:sz="0" w:space="0" w:color="auto"/>
      </w:divBdr>
    </w:div>
    <w:div w:id="164564561">
      <w:bodyDiv w:val="1"/>
      <w:marLeft w:val="0"/>
      <w:marRight w:val="0"/>
      <w:marTop w:val="0"/>
      <w:marBottom w:val="0"/>
      <w:divBdr>
        <w:top w:val="none" w:sz="0" w:space="0" w:color="auto"/>
        <w:left w:val="none" w:sz="0" w:space="0" w:color="auto"/>
        <w:bottom w:val="none" w:sz="0" w:space="0" w:color="auto"/>
        <w:right w:val="none" w:sz="0" w:space="0" w:color="auto"/>
      </w:divBdr>
    </w:div>
    <w:div w:id="166217161">
      <w:bodyDiv w:val="1"/>
      <w:marLeft w:val="0"/>
      <w:marRight w:val="0"/>
      <w:marTop w:val="0"/>
      <w:marBottom w:val="0"/>
      <w:divBdr>
        <w:top w:val="none" w:sz="0" w:space="0" w:color="auto"/>
        <w:left w:val="none" w:sz="0" w:space="0" w:color="auto"/>
        <w:bottom w:val="none" w:sz="0" w:space="0" w:color="auto"/>
        <w:right w:val="none" w:sz="0" w:space="0" w:color="auto"/>
      </w:divBdr>
    </w:div>
    <w:div w:id="225264918">
      <w:bodyDiv w:val="1"/>
      <w:marLeft w:val="0"/>
      <w:marRight w:val="0"/>
      <w:marTop w:val="0"/>
      <w:marBottom w:val="0"/>
      <w:divBdr>
        <w:top w:val="none" w:sz="0" w:space="0" w:color="auto"/>
        <w:left w:val="none" w:sz="0" w:space="0" w:color="auto"/>
        <w:bottom w:val="none" w:sz="0" w:space="0" w:color="auto"/>
        <w:right w:val="none" w:sz="0" w:space="0" w:color="auto"/>
      </w:divBdr>
    </w:div>
    <w:div w:id="265381686">
      <w:bodyDiv w:val="1"/>
      <w:marLeft w:val="0"/>
      <w:marRight w:val="0"/>
      <w:marTop w:val="0"/>
      <w:marBottom w:val="0"/>
      <w:divBdr>
        <w:top w:val="none" w:sz="0" w:space="0" w:color="auto"/>
        <w:left w:val="none" w:sz="0" w:space="0" w:color="auto"/>
        <w:bottom w:val="none" w:sz="0" w:space="0" w:color="auto"/>
        <w:right w:val="none" w:sz="0" w:space="0" w:color="auto"/>
      </w:divBdr>
    </w:div>
    <w:div w:id="299844638">
      <w:bodyDiv w:val="1"/>
      <w:marLeft w:val="0"/>
      <w:marRight w:val="0"/>
      <w:marTop w:val="0"/>
      <w:marBottom w:val="0"/>
      <w:divBdr>
        <w:top w:val="none" w:sz="0" w:space="0" w:color="auto"/>
        <w:left w:val="none" w:sz="0" w:space="0" w:color="auto"/>
        <w:bottom w:val="none" w:sz="0" w:space="0" w:color="auto"/>
        <w:right w:val="none" w:sz="0" w:space="0" w:color="auto"/>
      </w:divBdr>
    </w:div>
    <w:div w:id="424352411">
      <w:bodyDiv w:val="1"/>
      <w:marLeft w:val="0"/>
      <w:marRight w:val="0"/>
      <w:marTop w:val="0"/>
      <w:marBottom w:val="0"/>
      <w:divBdr>
        <w:top w:val="none" w:sz="0" w:space="0" w:color="auto"/>
        <w:left w:val="none" w:sz="0" w:space="0" w:color="auto"/>
        <w:bottom w:val="none" w:sz="0" w:space="0" w:color="auto"/>
        <w:right w:val="none" w:sz="0" w:space="0" w:color="auto"/>
      </w:divBdr>
    </w:div>
    <w:div w:id="446316493">
      <w:bodyDiv w:val="1"/>
      <w:marLeft w:val="0"/>
      <w:marRight w:val="0"/>
      <w:marTop w:val="0"/>
      <w:marBottom w:val="0"/>
      <w:divBdr>
        <w:top w:val="none" w:sz="0" w:space="0" w:color="auto"/>
        <w:left w:val="none" w:sz="0" w:space="0" w:color="auto"/>
        <w:bottom w:val="none" w:sz="0" w:space="0" w:color="auto"/>
        <w:right w:val="none" w:sz="0" w:space="0" w:color="auto"/>
      </w:divBdr>
    </w:div>
    <w:div w:id="513302248">
      <w:bodyDiv w:val="1"/>
      <w:marLeft w:val="0"/>
      <w:marRight w:val="0"/>
      <w:marTop w:val="0"/>
      <w:marBottom w:val="0"/>
      <w:divBdr>
        <w:top w:val="none" w:sz="0" w:space="0" w:color="auto"/>
        <w:left w:val="none" w:sz="0" w:space="0" w:color="auto"/>
        <w:bottom w:val="none" w:sz="0" w:space="0" w:color="auto"/>
        <w:right w:val="none" w:sz="0" w:space="0" w:color="auto"/>
      </w:divBdr>
    </w:div>
    <w:div w:id="524901790">
      <w:bodyDiv w:val="1"/>
      <w:marLeft w:val="0"/>
      <w:marRight w:val="0"/>
      <w:marTop w:val="0"/>
      <w:marBottom w:val="0"/>
      <w:divBdr>
        <w:top w:val="none" w:sz="0" w:space="0" w:color="auto"/>
        <w:left w:val="none" w:sz="0" w:space="0" w:color="auto"/>
        <w:bottom w:val="none" w:sz="0" w:space="0" w:color="auto"/>
        <w:right w:val="none" w:sz="0" w:space="0" w:color="auto"/>
      </w:divBdr>
    </w:div>
    <w:div w:id="632441521">
      <w:bodyDiv w:val="1"/>
      <w:marLeft w:val="0"/>
      <w:marRight w:val="0"/>
      <w:marTop w:val="0"/>
      <w:marBottom w:val="0"/>
      <w:divBdr>
        <w:top w:val="none" w:sz="0" w:space="0" w:color="auto"/>
        <w:left w:val="none" w:sz="0" w:space="0" w:color="auto"/>
        <w:bottom w:val="none" w:sz="0" w:space="0" w:color="auto"/>
        <w:right w:val="none" w:sz="0" w:space="0" w:color="auto"/>
      </w:divBdr>
    </w:div>
    <w:div w:id="643705509">
      <w:bodyDiv w:val="1"/>
      <w:marLeft w:val="0"/>
      <w:marRight w:val="0"/>
      <w:marTop w:val="0"/>
      <w:marBottom w:val="0"/>
      <w:divBdr>
        <w:top w:val="none" w:sz="0" w:space="0" w:color="auto"/>
        <w:left w:val="none" w:sz="0" w:space="0" w:color="auto"/>
        <w:bottom w:val="none" w:sz="0" w:space="0" w:color="auto"/>
        <w:right w:val="none" w:sz="0" w:space="0" w:color="auto"/>
      </w:divBdr>
    </w:div>
    <w:div w:id="648285339">
      <w:bodyDiv w:val="1"/>
      <w:marLeft w:val="0"/>
      <w:marRight w:val="0"/>
      <w:marTop w:val="0"/>
      <w:marBottom w:val="0"/>
      <w:divBdr>
        <w:top w:val="none" w:sz="0" w:space="0" w:color="auto"/>
        <w:left w:val="none" w:sz="0" w:space="0" w:color="auto"/>
        <w:bottom w:val="none" w:sz="0" w:space="0" w:color="auto"/>
        <w:right w:val="none" w:sz="0" w:space="0" w:color="auto"/>
      </w:divBdr>
    </w:div>
    <w:div w:id="650602178">
      <w:bodyDiv w:val="1"/>
      <w:marLeft w:val="0"/>
      <w:marRight w:val="0"/>
      <w:marTop w:val="0"/>
      <w:marBottom w:val="0"/>
      <w:divBdr>
        <w:top w:val="none" w:sz="0" w:space="0" w:color="auto"/>
        <w:left w:val="none" w:sz="0" w:space="0" w:color="auto"/>
        <w:bottom w:val="none" w:sz="0" w:space="0" w:color="auto"/>
        <w:right w:val="none" w:sz="0" w:space="0" w:color="auto"/>
      </w:divBdr>
    </w:div>
    <w:div w:id="692616427">
      <w:bodyDiv w:val="1"/>
      <w:marLeft w:val="0"/>
      <w:marRight w:val="0"/>
      <w:marTop w:val="0"/>
      <w:marBottom w:val="0"/>
      <w:divBdr>
        <w:top w:val="none" w:sz="0" w:space="0" w:color="auto"/>
        <w:left w:val="none" w:sz="0" w:space="0" w:color="auto"/>
        <w:bottom w:val="none" w:sz="0" w:space="0" w:color="auto"/>
        <w:right w:val="none" w:sz="0" w:space="0" w:color="auto"/>
      </w:divBdr>
    </w:div>
    <w:div w:id="868222296">
      <w:bodyDiv w:val="1"/>
      <w:marLeft w:val="0"/>
      <w:marRight w:val="0"/>
      <w:marTop w:val="0"/>
      <w:marBottom w:val="0"/>
      <w:divBdr>
        <w:top w:val="none" w:sz="0" w:space="0" w:color="auto"/>
        <w:left w:val="none" w:sz="0" w:space="0" w:color="auto"/>
        <w:bottom w:val="none" w:sz="0" w:space="0" w:color="auto"/>
        <w:right w:val="none" w:sz="0" w:space="0" w:color="auto"/>
      </w:divBdr>
    </w:div>
    <w:div w:id="924149385">
      <w:bodyDiv w:val="1"/>
      <w:marLeft w:val="0"/>
      <w:marRight w:val="0"/>
      <w:marTop w:val="0"/>
      <w:marBottom w:val="0"/>
      <w:divBdr>
        <w:top w:val="none" w:sz="0" w:space="0" w:color="auto"/>
        <w:left w:val="none" w:sz="0" w:space="0" w:color="auto"/>
        <w:bottom w:val="none" w:sz="0" w:space="0" w:color="auto"/>
        <w:right w:val="none" w:sz="0" w:space="0" w:color="auto"/>
      </w:divBdr>
    </w:div>
    <w:div w:id="932737222">
      <w:bodyDiv w:val="1"/>
      <w:marLeft w:val="0"/>
      <w:marRight w:val="0"/>
      <w:marTop w:val="0"/>
      <w:marBottom w:val="0"/>
      <w:divBdr>
        <w:top w:val="none" w:sz="0" w:space="0" w:color="auto"/>
        <w:left w:val="none" w:sz="0" w:space="0" w:color="auto"/>
        <w:bottom w:val="none" w:sz="0" w:space="0" w:color="auto"/>
        <w:right w:val="none" w:sz="0" w:space="0" w:color="auto"/>
      </w:divBdr>
    </w:div>
    <w:div w:id="949436144">
      <w:bodyDiv w:val="1"/>
      <w:marLeft w:val="0"/>
      <w:marRight w:val="0"/>
      <w:marTop w:val="0"/>
      <w:marBottom w:val="0"/>
      <w:divBdr>
        <w:top w:val="none" w:sz="0" w:space="0" w:color="auto"/>
        <w:left w:val="none" w:sz="0" w:space="0" w:color="auto"/>
        <w:bottom w:val="none" w:sz="0" w:space="0" w:color="auto"/>
        <w:right w:val="none" w:sz="0" w:space="0" w:color="auto"/>
      </w:divBdr>
    </w:div>
    <w:div w:id="973025472">
      <w:bodyDiv w:val="1"/>
      <w:marLeft w:val="0"/>
      <w:marRight w:val="0"/>
      <w:marTop w:val="0"/>
      <w:marBottom w:val="0"/>
      <w:divBdr>
        <w:top w:val="none" w:sz="0" w:space="0" w:color="auto"/>
        <w:left w:val="none" w:sz="0" w:space="0" w:color="auto"/>
        <w:bottom w:val="none" w:sz="0" w:space="0" w:color="auto"/>
        <w:right w:val="none" w:sz="0" w:space="0" w:color="auto"/>
      </w:divBdr>
    </w:div>
    <w:div w:id="976371476">
      <w:bodyDiv w:val="1"/>
      <w:marLeft w:val="0"/>
      <w:marRight w:val="0"/>
      <w:marTop w:val="0"/>
      <w:marBottom w:val="0"/>
      <w:divBdr>
        <w:top w:val="none" w:sz="0" w:space="0" w:color="auto"/>
        <w:left w:val="none" w:sz="0" w:space="0" w:color="auto"/>
        <w:bottom w:val="none" w:sz="0" w:space="0" w:color="auto"/>
        <w:right w:val="none" w:sz="0" w:space="0" w:color="auto"/>
      </w:divBdr>
    </w:div>
    <w:div w:id="1024207521">
      <w:bodyDiv w:val="1"/>
      <w:marLeft w:val="0"/>
      <w:marRight w:val="0"/>
      <w:marTop w:val="0"/>
      <w:marBottom w:val="0"/>
      <w:divBdr>
        <w:top w:val="none" w:sz="0" w:space="0" w:color="auto"/>
        <w:left w:val="none" w:sz="0" w:space="0" w:color="auto"/>
        <w:bottom w:val="none" w:sz="0" w:space="0" w:color="auto"/>
        <w:right w:val="none" w:sz="0" w:space="0" w:color="auto"/>
      </w:divBdr>
    </w:div>
    <w:div w:id="1062362473">
      <w:bodyDiv w:val="1"/>
      <w:marLeft w:val="0"/>
      <w:marRight w:val="0"/>
      <w:marTop w:val="0"/>
      <w:marBottom w:val="0"/>
      <w:divBdr>
        <w:top w:val="none" w:sz="0" w:space="0" w:color="auto"/>
        <w:left w:val="none" w:sz="0" w:space="0" w:color="auto"/>
        <w:bottom w:val="none" w:sz="0" w:space="0" w:color="auto"/>
        <w:right w:val="none" w:sz="0" w:space="0" w:color="auto"/>
      </w:divBdr>
    </w:div>
    <w:div w:id="1109423522">
      <w:bodyDiv w:val="1"/>
      <w:marLeft w:val="0"/>
      <w:marRight w:val="0"/>
      <w:marTop w:val="0"/>
      <w:marBottom w:val="0"/>
      <w:divBdr>
        <w:top w:val="none" w:sz="0" w:space="0" w:color="auto"/>
        <w:left w:val="none" w:sz="0" w:space="0" w:color="auto"/>
        <w:bottom w:val="none" w:sz="0" w:space="0" w:color="auto"/>
        <w:right w:val="none" w:sz="0" w:space="0" w:color="auto"/>
      </w:divBdr>
    </w:div>
    <w:div w:id="1135024948">
      <w:bodyDiv w:val="1"/>
      <w:marLeft w:val="0"/>
      <w:marRight w:val="0"/>
      <w:marTop w:val="0"/>
      <w:marBottom w:val="0"/>
      <w:divBdr>
        <w:top w:val="none" w:sz="0" w:space="0" w:color="auto"/>
        <w:left w:val="none" w:sz="0" w:space="0" w:color="auto"/>
        <w:bottom w:val="none" w:sz="0" w:space="0" w:color="auto"/>
        <w:right w:val="none" w:sz="0" w:space="0" w:color="auto"/>
      </w:divBdr>
    </w:div>
    <w:div w:id="1152019032">
      <w:bodyDiv w:val="1"/>
      <w:marLeft w:val="0"/>
      <w:marRight w:val="0"/>
      <w:marTop w:val="0"/>
      <w:marBottom w:val="0"/>
      <w:divBdr>
        <w:top w:val="none" w:sz="0" w:space="0" w:color="auto"/>
        <w:left w:val="none" w:sz="0" w:space="0" w:color="auto"/>
        <w:bottom w:val="none" w:sz="0" w:space="0" w:color="auto"/>
        <w:right w:val="none" w:sz="0" w:space="0" w:color="auto"/>
      </w:divBdr>
    </w:div>
    <w:div w:id="1192256788">
      <w:bodyDiv w:val="1"/>
      <w:marLeft w:val="0"/>
      <w:marRight w:val="0"/>
      <w:marTop w:val="0"/>
      <w:marBottom w:val="0"/>
      <w:divBdr>
        <w:top w:val="none" w:sz="0" w:space="0" w:color="auto"/>
        <w:left w:val="none" w:sz="0" w:space="0" w:color="auto"/>
        <w:bottom w:val="none" w:sz="0" w:space="0" w:color="auto"/>
        <w:right w:val="none" w:sz="0" w:space="0" w:color="auto"/>
      </w:divBdr>
    </w:div>
    <w:div w:id="1312446604">
      <w:bodyDiv w:val="1"/>
      <w:marLeft w:val="0"/>
      <w:marRight w:val="0"/>
      <w:marTop w:val="0"/>
      <w:marBottom w:val="0"/>
      <w:divBdr>
        <w:top w:val="none" w:sz="0" w:space="0" w:color="auto"/>
        <w:left w:val="none" w:sz="0" w:space="0" w:color="auto"/>
        <w:bottom w:val="none" w:sz="0" w:space="0" w:color="auto"/>
        <w:right w:val="none" w:sz="0" w:space="0" w:color="auto"/>
      </w:divBdr>
    </w:div>
    <w:div w:id="1348751434">
      <w:bodyDiv w:val="1"/>
      <w:marLeft w:val="0"/>
      <w:marRight w:val="0"/>
      <w:marTop w:val="0"/>
      <w:marBottom w:val="0"/>
      <w:divBdr>
        <w:top w:val="none" w:sz="0" w:space="0" w:color="auto"/>
        <w:left w:val="none" w:sz="0" w:space="0" w:color="auto"/>
        <w:bottom w:val="none" w:sz="0" w:space="0" w:color="auto"/>
        <w:right w:val="none" w:sz="0" w:space="0" w:color="auto"/>
      </w:divBdr>
    </w:div>
    <w:div w:id="1389063508">
      <w:bodyDiv w:val="1"/>
      <w:marLeft w:val="0"/>
      <w:marRight w:val="0"/>
      <w:marTop w:val="0"/>
      <w:marBottom w:val="0"/>
      <w:divBdr>
        <w:top w:val="none" w:sz="0" w:space="0" w:color="auto"/>
        <w:left w:val="none" w:sz="0" w:space="0" w:color="auto"/>
        <w:bottom w:val="none" w:sz="0" w:space="0" w:color="auto"/>
        <w:right w:val="none" w:sz="0" w:space="0" w:color="auto"/>
      </w:divBdr>
    </w:div>
    <w:div w:id="1396319724">
      <w:bodyDiv w:val="1"/>
      <w:marLeft w:val="0"/>
      <w:marRight w:val="0"/>
      <w:marTop w:val="0"/>
      <w:marBottom w:val="0"/>
      <w:divBdr>
        <w:top w:val="none" w:sz="0" w:space="0" w:color="auto"/>
        <w:left w:val="none" w:sz="0" w:space="0" w:color="auto"/>
        <w:bottom w:val="none" w:sz="0" w:space="0" w:color="auto"/>
        <w:right w:val="none" w:sz="0" w:space="0" w:color="auto"/>
      </w:divBdr>
    </w:div>
    <w:div w:id="1409499671">
      <w:bodyDiv w:val="1"/>
      <w:marLeft w:val="0"/>
      <w:marRight w:val="0"/>
      <w:marTop w:val="0"/>
      <w:marBottom w:val="0"/>
      <w:divBdr>
        <w:top w:val="none" w:sz="0" w:space="0" w:color="auto"/>
        <w:left w:val="none" w:sz="0" w:space="0" w:color="auto"/>
        <w:bottom w:val="none" w:sz="0" w:space="0" w:color="auto"/>
        <w:right w:val="none" w:sz="0" w:space="0" w:color="auto"/>
      </w:divBdr>
    </w:div>
    <w:div w:id="1483231955">
      <w:bodyDiv w:val="1"/>
      <w:marLeft w:val="0"/>
      <w:marRight w:val="0"/>
      <w:marTop w:val="0"/>
      <w:marBottom w:val="0"/>
      <w:divBdr>
        <w:top w:val="none" w:sz="0" w:space="0" w:color="auto"/>
        <w:left w:val="none" w:sz="0" w:space="0" w:color="auto"/>
        <w:bottom w:val="none" w:sz="0" w:space="0" w:color="auto"/>
        <w:right w:val="none" w:sz="0" w:space="0" w:color="auto"/>
      </w:divBdr>
    </w:div>
    <w:div w:id="1659652235">
      <w:bodyDiv w:val="1"/>
      <w:marLeft w:val="0"/>
      <w:marRight w:val="0"/>
      <w:marTop w:val="0"/>
      <w:marBottom w:val="0"/>
      <w:divBdr>
        <w:top w:val="none" w:sz="0" w:space="0" w:color="auto"/>
        <w:left w:val="none" w:sz="0" w:space="0" w:color="auto"/>
        <w:bottom w:val="none" w:sz="0" w:space="0" w:color="auto"/>
        <w:right w:val="none" w:sz="0" w:space="0" w:color="auto"/>
      </w:divBdr>
    </w:div>
    <w:div w:id="1672027883">
      <w:bodyDiv w:val="1"/>
      <w:marLeft w:val="0"/>
      <w:marRight w:val="0"/>
      <w:marTop w:val="0"/>
      <w:marBottom w:val="0"/>
      <w:divBdr>
        <w:top w:val="none" w:sz="0" w:space="0" w:color="auto"/>
        <w:left w:val="none" w:sz="0" w:space="0" w:color="auto"/>
        <w:bottom w:val="none" w:sz="0" w:space="0" w:color="auto"/>
        <w:right w:val="none" w:sz="0" w:space="0" w:color="auto"/>
      </w:divBdr>
    </w:div>
    <w:div w:id="1704286479">
      <w:bodyDiv w:val="1"/>
      <w:marLeft w:val="0"/>
      <w:marRight w:val="0"/>
      <w:marTop w:val="0"/>
      <w:marBottom w:val="0"/>
      <w:divBdr>
        <w:top w:val="none" w:sz="0" w:space="0" w:color="auto"/>
        <w:left w:val="none" w:sz="0" w:space="0" w:color="auto"/>
        <w:bottom w:val="none" w:sz="0" w:space="0" w:color="auto"/>
        <w:right w:val="none" w:sz="0" w:space="0" w:color="auto"/>
      </w:divBdr>
    </w:div>
    <w:div w:id="1715932010">
      <w:bodyDiv w:val="1"/>
      <w:marLeft w:val="0"/>
      <w:marRight w:val="0"/>
      <w:marTop w:val="0"/>
      <w:marBottom w:val="0"/>
      <w:divBdr>
        <w:top w:val="none" w:sz="0" w:space="0" w:color="auto"/>
        <w:left w:val="none" w:sz="0" w:space="0" w:color="auto"/>
        <w:bottom w:val="none" w:sz="0" w:space="0" w:color="auto"/>
        <w:right w:val="none" w:sz="0" w:space="0" w:color="auto"/>
      </w:divBdr>
    </w:div>
    <w:div w:id="1776092797">
      <w:bodyDiv w:val="1"/>
      <w:marLeft w:val="0"/>
      <w:marRight w:val="0"/>
      <w:marTop w:val="0"/>
      <w:marBottom w:val="0"/>
      <w:divBdr>
        <w:top w:val="none" w:sz="0" w:space="0" w:color="auto"/>
        <w:left w:val="none" w:sz="0" w:space="0" w:color="auto"/>
        <w:bottom w:val="none" w:sz="0" w:space="0" w:color="auto"/>
        <w:right w:val="none" w:sz="0" w:space="0" w:color="auto"/>
      </w:divBdr>
    </w:div>
    <w:div w:id="1797943597">
      <w:bodyDiv w:val="1"/>
      <w:marLeft w:val="0"/>
      <w:marRight w:val="0"/>
      <w:marTop w:val="0"/>
      <w:marBottom w:val="0"/>
      <w:divBdr>
        <w:top w:val="none" w:sz="0" w:space="0" w:color="auto"/>
        <w:left w:val="none" w:sz="0" w:space="0" w:color="auto"/>
        <w:bottom w:val="none" w:sz="0" w:space="0" w:color="auto"/>
        <w:right w:val="none" w:sz="0" w:space="0" w:color="auto"/>
      </w:divBdr>
    </w:div>
    <w:div w:id="1823544263">
      <w:bodyDiv w:val="1"/>
      <w:marLeft w:val="0"/>
      <w:marRight w:val="0"/>
      <w:marTop w:val="0"/>
      <w:marBottom w:val="0"/>
      <w:divBdr>
        <w:top w:val="none" w:sz="0" w:space="0" w:color="auto"/>
        <w:left w:val="none" w:sz="0" w:space="0" w:color="auto"/>
        <w:bottom w:val="none" w:sz="0" w:space="0" w:color="auto"/>
        <w:right w:val="none" w:sz="0" w:space="0" w:color="auto"/>
      </w:divBdr>
    </w:div>
    <w:div w:id="1922986188">
      <w:bodyDiv w:val="1"/>
      <w:marLeft w:val="0"/>
      <w:marRight w:val="0"/>
      <w:marTop w:val="0"/>
      <w:marBottom w:val="0"/>
      <w:divBdr>
        <w:top w:val="none" w:sz="0" w:space="0" w:color="auto"/>
        <w:left w:val="none" w:sz="0" w:space="0" w:color="auto"/>
        <w:bottom w:val="none" w:sz="0" w:space="0" w:color="auto"/>
        <w:right w:val="none" w:sz="0" w:space="0" w:color="auto"/>
      </w:divBdr>
    </w:div>
    <w:div w:id="1937903404">
      <w:bodyDiv w:val="1"/>
      <w:marLeft w:val="0"/>
      <w:marRight w:val="0"/>
      <w:marTop w:val="0"/>
      <w:marBottom w:val="0"/>
      <w:divBdr>
        <w:top w:val="none" w:sz="0" w:space="0" w:color="auto"/>
        <w:left w:val="none" w:sz="0" w:space="0" w:color="auto"/>
        <w:bottom w:val="none" w:sz="0" w:space="0" w:color="auto"/>
        <w:right w:val="none" w:sz="0" w:space="0" w:color="auto"/>
      </w:divBdr>
    </w:div>
    <w:div w:id="1940798470">
      <w:bodyDiv w:val="1"/>
      <w:marLeft w:val="0"/>
      <w:marRight w:val="0"/>
      <w:marTop w:val="0"/>
      <w:marBottom w:val="0"/>
      <w:divBdr>
        <w:top w:val="none" w:sz="0" w:space="0" w:color="auto"/>
        <w:left w:val="none" w:sz="0" w:space="0" w:color="auto"/>
        <w:bottom w:val="none" w:sz="0" w:space="0" w:color="auto"/>
        <w:right w:val="none" w:sz="0" w:space="0" w:color="auto"/>
      </w:divBdr>
    </w:div>
    <w:div w:id="1974483684">
      <w:bodyDiv w:val="1"/>
      <w:marLeft w:val="0"/>
      <w:marRight w:val="0"/>
      <w:marTop w:val="0"/>
      <w:marBottom w:val="0"/>
      <w:divBdr>
        <w:top w:val="none" w:sz="0" w:space="0" w:color="auto"/>
        <w:left w:val="none" w:sz="0" w:space="0" w:color="auto"/>
        <w:bottom w:val="none" w:sz="0" w:space="0" w:color="auto"/>
        <w:right w:val="none" w:sz="0" w:space="0" w:color="auto"/>
      </w:divBdr>
    </w:div>
    <w:div w:id="1988435560">
      <w:bodyDiv w:val="1"/>
      <w:marLeft w:val="0"/>
      <w:marRight w:val="0"/>
      <w:marTop w:val="0"/>
      <w:marBottom w:val="0"/>
      <w:divBdr>
        <w:top w:val="none" w:sz="0" w:space="0" w:color="auto"/>
        <w:left w:val="none" w:sz="0" w:space="0" w:color="auto"/>
        <w:bottom w:val="none" w:sz="0" w:space="0" w:color="auto"/>
        <w:right w:val="none" w:sz="0" w:space="0" w:color="auto"/>
      </w:divBdr>
    </w:div>
    <w:div w:id="2016758013">
      <w:bodyDiv w:val="1"/>
      <w:marLeft w:val="0"/>
      <w:marRight w:val="0"/>
      <w:marTop w:val="0"/>
      <w:marBottom w:val="0"/>
      <w:divBdr>
        <w:top w:val="none" w:sz="0" w:space="0" w:color="auto"/>
        <w:left w:val="none" w:sz="0" w:space="0" w:color="auto"/>
        <w:bottom w:val="none" w:sz="0" w:space="0" w:color="auto"/>
        <w:right w:val="none" w:sz="0" w:space="0" w:color="auto"/>
      </w:divBdr>
    </w:div>
    <w:div w:id="2052731170">
      <w:bodyDiv w:val="1"/>
      <w:marLeft w:val="0"/>
      <w:marRight w:val="0"/>
      <w:marTop w:val="0"/>
      <w:marBottom w:val="0"/>
      <w:divBdr>
        <w:top w:val="none" w:sz="0" w:space="0" w:color="auto"/>
        <w:left w:val="none" w:sz="0" w:space="0" w:color="auto"/>
        <w:bottom w:val="none" w:sz="0" w:space="0" w:color="auto"/>
        <w:right w:val="none" w:sz="0" w:space="0" w:color="auto"/>
      </w:divBdr>
    </w:div>
    <w:div w:id="2058966671">
      <w:bodyDiv w:val="1"/>
      <w:marLeft w:val="0"/>
      <w:marRight w:val="0"/>
      <w:marTop w:val="0"/>
      <w:marBottom w:val="0"/>
      <w:divBdr>
        <w:top w:val="none" w:sz="0" w:space="0" w:color="auto"/>
        <w:left w:val="none" w:sz="0" w:space="0" w:color="auto"/>
        <w:bottom w:val="none" w:sz="0" w:space="0" w:color="auto"/>
        <w:right w:val="none" w:sz="0" w:space="0" w:color="auto"/>
      </w:divBdr>
    </w:div>
    <w:div w:id="2127384971">
      <w:bodyDiv w:val="1"/>
      <w:marLeft w:val="0"/>
      <w:marRight w:val="0"/>
      <w:marTop w:val="0"/>
      <w:marBottom w:val="0"/>
      <w:divBdr>
        <w:top w:val="none" w:sz="0" w:space="0" w:color="auto"/>
        <w:left w:val="none" w:sz="0" w:space="0" w:color="auto"/>
        <w:bottom w:val="none" w:sz="0" w:space="0" w:color="auto"/>
        <w:right w:val="none" w:sz="0" w:space="0" w:color="auto"/>
      </w:divBdr>
    </w:div>
    <w:div w:id="21336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8</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Hilborn</dc:creator>
  <cp:lastModifiedBy>Daniel J. Hively</cp:lastModifiedBy>
  <cp:revision>59</cp:revision>
  <dcterms:created xsi:type="dcterms:W3CDTF">2017-10-15T18:27:00Z</dcterms:created>
  <dcterms:modified xsi:type="dcterms:W3CDTF">2024-11-05T20:48:00Z</dcterms:modified>
</cp:coreProperties>
</file>