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360" w:line="300" w:lineRule="auto"/>
        <w:jc w:val="center"/>
      </w:pPr>
      <w:r>
        <w:rPr>
          <w:rFonts w:ascii="Calibri" w:hAnsi="Calibri"/>
          <w:b/>
          <w:color w:val="5D6D7E"/>
          <w:sz w:val="22"/>
        </w:rPr>
        <w:t>Engineering Reference Guide</w:t>
      </w:r>
    </w:p>
    <w:p>
      <w:pPr>
        <w:spacing w:before="0" w:after="160" w:line="300" w:lineRule="auto"/>
        <w:jc w:val="center"/>
      </w:pPr>
      <w:r>
        <w:rPr>
          <w:rFonts w:ascii="Calibri" w:hAnsi="Calibri"/>
          <w:b/>
          <w:color w:val="0B2545"/>
          <w:sz w:val="60"/>
        </w:rPr>
        <w:t>SonicMind Code Documentation</w:t>
      </w:r>
    </w:p>
    <w:p>
      <w:pPr>
        <w:spacing w:before="0" w:after="480" w:line="300" w:lineRule="auto"/>
        <w:jc w:val="center"/>
      </w:pPr>
      <w:r>
        <w:rPr>
          <w:rFonts w:ascii="Calibri" w:hAnsi="Calibri"/>
          <w:color w:val="1F4D78"/>
          <w:sz w:val="26"/>
        </w:rPr>
        <w:t>Architecture, runtime modes, API boundaries, billing, retrieval, and verification map</w:t>
      </w:r>
    </w:p>
    <w:tbl>
      <w:tblPr>
        <w:tblStyle w:val="TableGrid"/>
        <w:tblW w:type="dxa" w:w="9360"/>
        <w:jc w:val="left"/>
        <w:tblLook w:firstColumn="1" w:firstRow="1" w:lastColumn="0" w:lastRow="0" w:noHBand="0" w:noVBand="1" w:val="04A0"/>
        <w:tblInd w:w="120" w:type="dxa"/>
        <w:tblLayout w:type="fixed"/>
      </w:tblPr>
      <w:tblGrid>
        <w:gridCol w:w="2700"/>
        <w:gridCol w:w="6660"/>
      </w:tblGrid>
      <w:tr>
        <w:tc>
          <w:tcPr>
            <w:tcW w:type="dxa" w:w="2700"/>
            <w:tcMar>
              <w:top w:w="100" w:type="dxa"/>
              <w:start w:w="120" w:type="dxa"/>
              <w:bottom w:w="100" w:type="dxa"/>
              <w:end w:w="120" w:type="dxa"/>
            </w:tcMar>
            <w:vAlign w:val="center"/>
            <w:shd w:fill="E8EEF5"/>
          </w:tcPr>
          <w:p>
            <w:r>
              <w:rPr>
                <w:rFonts w:ascii="Calibri" w:hAnsi="Calibri"/>
                <w:b/>
                <w:color w:val="0B2545"/>
                <w:sz w:val="20"/>
              </w:rPr>
              <w:t>Last updated</w:t>
            </w:r>
          </w:p>
        </w:tc>
        <w:tc>
          <w:tcPr>
            <w:tcW w:type="dxa" w:w="6660"/>
            <w:tcMar>
              <w:top w:w="100" w:type="dxa"/>
              <w:start w:w="120" w:type="dxa"/>
              <w:bottom w:w="100" w:type="dxa"/>
              <w:end w:w="120" w:type="dxa"/>
            </w:tcMar>
            <w:vAlign w:val="center"/>
          </w:tcPr>
          <w:p>
            <w:r>
              <w:rPr>
                <w:rFonts w:ascii="Calibri" w:hAnsi="Calibri"/>
                <w:color w:val="0B2545"/>
                <w:sz w:val="21"/>
              </w:rPr>
              <w:t>2026-05-09</w:t>
            </w:r>
          </w:p>
        </w:tc>
      </w:tr>
      <w:tr>
        <w:tc>
          <w:tcPr>
            <w:tcW w:type="dxa" w:w="2700"/>
            <w:tcMar>
              <w:top w:w="100" w:type="dxa"/>
              <w:start w:w="120" w:type="dxa"/>
              <w:bottom w:w="100" w:type="dxa"/>
              <w:end w:w="120" w:type="dxa"/>
            </w:tcMar>
            <w:vAlign w:val="center"/>
            <w:shd w:fill="E8EEF5"/>
          </w:tcPr>
          <w:p>
            <w:r>
              <w:rPr>
                <w:rFonts w:ascii="Calibri" w:hAnsi="Calibri"/>
                <w:b/>
                <w:color w:val="0B2545"/>
                <w:sz w:val="20"/>
              </w:rPr>
              <w:t>Frontend</w:t>
            </w:r>
          </w:p>
        </w:tc>
        <w:tc>
          <w:tcPr>
            <w:tcW w:type="dxa" w:w="6660"/>
            <w:tcMar>
              <w:top w:w="100" w:type="dxa"/>
              <w:start w:w="120" w:type="dxa"/>
              <w:bottom w:w="100" w:type="dxa"/>
              <w:end w:w="120" w:type="dxa"/>
            </w:tcMar>
            <w:vAlign w:val="center"/>
          </w:tcPr>
          <w:p>
            <w:r>
              <w:rPr>
                <w:rFonts w:ascii="Calibri" w:hAnsi="Calibri"/>
                <w:color w:val="0B2545"/>
                <w:sz w:val="21"/>
              </w:rPr>
              <w:t>https://sonicmind.onrender.com</w:t>
            </w:r>
          </w:p>
        </w:tc>
      </w:tr>
      <w:tr>
        <w:tc>
          <w:tcPr>
            <w:tcW w:type="dxa" w:w="2700"/>
            <w:tcMar>
              <w:top w:w="100" w:type="dxa"/>
              <w:start w:w="120" w:type="dxa"/>
              <w:bottom w:w="100" w:type="dxa"/>
              <w:end w:w="120" w:type="dxa"/>
            </w:tcMar>
            <w:vAlign w:val="center"/>
            <w:shd w:fill="E8EEF5"/>
          </w:tcPr>
          <w:p>
            <w:r>
              <w:rPr>
                <w:rFonts w:ascii="Calibri" w:hAnsi="Calibri"/>
                <w:b/>
                <w:color w:val="0B2545"/>
                <w:sz w:val="20"/>
              </w:rPr>
              <w:t>Backend API</w:t>
            </w:r>
          </w:p>
        </w:tc>
        <w:tc>
          <w:tcPr>
            <w:tcW w:type="dxa" w:w="6660"/>
            <w:tcMar>
              <w:top w:w="100" w:type="dxa"/>
              <w:start w:w="120" w:type="dxa"/>
              <w:bottom w:w="100" w:type="dxa"/>
              <w:end w:w="120" w:type="dxa"/>
            </w:tcMar>
            <w:vAlign w:val="center"/>
          </w:tcPr>
          <w:p>
            <w:r>
              <w:rPr>
                <w:rFonts w:ascii="Calibri" w:hAnsi="Calibri"/>
                <w:color w:val="0B2545"/>
                <w:sz w:val="21"/>
              </w:rPr>
              <w:t>https://sonicmind-api.onrender.com</w:t>
            </w:r>
          </w:p>
        </w:tc>
      </w:tr>
      <w:tr>
        <w:tc>
          <w:tcPr>
            <w:tcW w:type="dxa" w:w="2700"/>
            <w:tcMar>
              <w:top w:w="100" w:type="dxa"/>
              <w:start w:w="120" w:type="dxa"/>
              <w:bottom w:w="100" w:type="dxa"/>
              <w:end w:w="120" w:type="dxa"/>
            </w:tcMar>
            <w:vAlign w:val="center"/>
            <w:shd w:fill="E8EEF5"/>
          </w:tcPr>
          <w:p>
            <w:r>
              <w:rPr>
                <w:rFonts w:ascii="Calibri" w:hAnsi="Calibri"/>
                <w:b/>
                <w:color w:val="0B2545"/>
                <w:sz w:val="20"/>
              </w:rPr>
              <w:t>Primary use</w:t>
            </w:r>
          </w:p>
        </w:tc>
        <w:tc>
          <w:tcPr>
            <w:tcW w:type="dxa" w:w="6660"/>
            <w:tcMar>
              <w:top w:w="100" w:type="dxa"/>
              <w:start w:w="120" w:type="dxa"/>
              <w:bottom w:w="100" w:type="dxa"/>
              <w:end w:w="120" w:type="dxa"/>
            </w:tcMar>
            <w:vAlign w:val="center"/>
          </w:tcPr>
          <w:p>
            <w:r>
              <w:rPr>
                <w:rFonts w:ascii="Calibri" w:hAnsi="Calibri"/>
                <w:color w:val="0B2545"/>
                <w:sz w:val="21"/>
              </w:rPr>
              <w:t>Fast onboarding for engineers reviewing, deploying, or extending SonicMind</w:t>
            </w:r>
          </w:p>
        </w:tc>
      </w:tr>
    </w:tbl>
    <w:p>
      <w:r>
        <w:br w:type="page"/>
      </w:r>
    </w:p>
    <w:p>
      <w:pPr>
        <w:pStyle w:val="Heading1"/>
      </w:pPr>
      <w:r>
        <w:t>1. Purpose and Reader Path</w:t>
      </w:r>
    </w:p>
    <w:p>
      <w:pPr>
        <w:spacing w:before="0" w:after="120" w:line="300" w:lineRule="auto"/>
      </w:pPr>
      <w:r>
        <w:rPr>
          <w:rFonts w:ascii="Calibri" w:hAnsi="Calibri"/>
          <w:color w:val="0B2545"/>
        </w:rPr>
        <w:t>This guide explains the current SonicMind codebase after the migration to a deployed React frontend and FastAPI backend. It is designed for engineers who need to review, deploy, debug, or extend the project without reverse-engineering every file first.</w:t>
      </w: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60" w:type="dxa"/>
              <w:bottom w:w="120" w:type="dxa"/>
              <w:end w:w="160" w:type="dxa"/>
            </w:tcMar>
            <w:shd w:fill="F4F6F9"/>
            <w:vAlign w:val="center"/>
          </w:tcPr>
          <w:p>
            <w:pPr>
              <w:spacing w:before="0" w:after="40" w:line="300" w:lineRule="auto"/>
            </w:pPr>
            <w:r>
              <w:rPr>
                <w:rFonts w:ascii="Calibri" w:hAnsi="Calibri"/>
                <w:b/>
                <w:color w:val="1F4D78"/>
                <w:sz w:val="21"/>
              </w:rPr>
              <w:t>Current deployed surface</w:t>
            </w:r>
            <w:r>
              <w:br/>
            </w:r>
            <w:r>
              <w:rPr>
                <w:rFonts w:ascii="Calibri" w:hAnsi="Calibri"/>
                <w:color w:val="0B2545"/>
                <w:sz w:val="21"/>
              </w:rPr>
              <w:t>Frontend: https://sonicmind.onrender.com | Backend API: https://sonicmind-api.onrender.com | Health: https://sonicmind-api.onrender.com/api/health</w:t>
            </w:r>
          </w:p>
        </w:tc>
      </w:tr>
    </w:tbl>
    <w:p/>
    <w:p>
      <w:pPr>
        <w:pStyle w:val="Heading1"/>
      </w:pPr>
      <w:r>
        <w:t>2. High-Level Code Map</w:t>
      </w:r>
    </w:p>
    <w:tbl>
      <w:tblPr>
        <w:tblStyle w:val="TableGrid"/>
        <w:tblW w:type="dxa" w:w="9360"/>
        <w:jc w:val="left"/>
        <w:tblLook w:firstColumn="1" w:firstRow="1" w:lastColumn="0" w:lastRow="0" w:noHBand="0" w:noVBand="1" w:val="04A0"/>
        <w:tblInd w:w="120" w:type="dxa"/>
        <w:tblLayout w:type="fixed"/>
      </w:tblPr>
      <w:tblGrid>
        <w:gridCol w:w="1800"/>
        <w:gridCol w:w="2650"/>
        <w:gridCol w:w="4910"/>
      </w:tblGrid>
      <w:tr>
        <w:tc>
          <w:tcPr>
            <w:tcW w:type="dxa" w:w="1800"/>
            <w:tcMar>
              <w:top w:w="80" w:type="dxa"/>
              <w:start w:w="120" w:type="dxa"/>
              <w:bottom w:w="80" w:type="dxa"/>
              <w:end w:w="120" w:type="dxa"/>
            </w:tcMar>
            <w:shd w:fill="E8EEF5"/>
            <w:vAlign w:val="center"/>
          </w:tcPr>
          <w:p>
            <w:r>
              <w:rPr>
                <w:rFonts w:ascii="Calibri" w:hAnsi="Calibri"/>
                <w:b/>
                <w:color w:val="0B2545"/>
                <w:sz w:val="20"/>
              </w:rPr>
              <w:t>Area</w:t>
            </w:r>
          </w:p>
        </w:tc>
        <w:tc>
          <w:tcPr>
            <w:tcW w:type="dxa" w:w="2650"/>
            <w:tcMar>
              <w:top w:w="80" w:type="dxa"/>
              <w:start w:w="120" w:type="dxa"/>
              <w:bottom w:w="80" w:type="dxa"/>
              <w:end w:w="120" w:type="dxa"/>
            </w:tcMar>
            <w:shd w:fill="E8EEF5"/>
            <w:vAlign w:val="center"/>
          </w:tcPr>
          <w:p>
            <w:r>
              <w:rPr>
                <w:rFonts w:ascii="Calibri" w:hAnsi="Calibri"/>
                <w:b/>
                <w:color w:val="0B2545"/>
                <w:sz w:val="20"/>
              </w:rPr>
              <w:t>Path</w:t>
            </w:r>
          </w:p>
        </w:tc>
        <w:tc>
          <w:tcPr>
            <w:tcW w:type="dxa" w:w="4910"/>
            <w:tcMar>
              <w:top w:w="80" w:type="dxa"/>
              <w:start w:w="120" w:type="dxa"/>
              <w:bottom w:w="80" w:type="dxa"/>
              <w:end w:w="120" w:type="dxa"/>
            </w:tcMar>
            <w:shd w:fill="E8EEF5"/>
            <w:vAlign w:val="center"/>
          </w:tcPr>
          <w:p>
            <w:r>
              <w:rPr>
                <w:rFonts w:ascii="Calibri" w:hAnsi="Calibri"/>
                <w:b/>
                <w:color w:val="0B2545"/>
                <w:sz w:val="20"/>
              </w:rPr>
              <w:t>Responsibility</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React app</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frontend/src/</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Browser UI, routing, chat rendering, pricing actions, Spotify cards.</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API client</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frontend/src/api/client.js</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Shared Axios client, bearer token injection, and API helpers.</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Auth state</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frontend/src/store/authStore.js</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Persisted bearer token, user, chat turns, latest response, and UI settings.</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FastAPI app</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backend/main.py</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Routes, auth dependency, CORS, health, account status, billing, and chat.</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API schemas</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backend/schemas.py</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Pydantic request/response contracts for browser-safe APIs.</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Billing service</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backend/services/billing_service.py</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Stripe Checkout, Portal, direct plan changes, webhook processing.</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Chat service</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backend/services/chat_service.py</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Quota check, question logging, answer generation, usage charging.</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Runtime settings</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src/settings.py</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Production lightweight vs semantic FAISS mode resolution.</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RAG pipeline</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src/rag_pipeline.py</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Query routing, evidence gathering, answer synthesis, Spotify planning.</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Database schema</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src/db/schema.py</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PostgreSQL tables, indexes, and repeatable schema setup.</w:t>
            </w:r>
          </w:p>
        </w:tc>
      </w:tr>
      <w:tr>
        <w:tc>
          <w:tcPr>
            <w:tcW w:type="dxa" w:w="18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Tests</w:t>
            </w:r>
          </w:p>
        </w:tc>
        <w:tc>
          <w:tcPr>
            <w:tcW w:type="dxa" w:w="26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tests/ and frontend/tests/e2e/</w:t>
            </w:r>
          </w:p>
        </w:tc>
        <w:tc>
          <w:tcPr>
            <w:tcW w:type="dxa" w:w="49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Pytest coverage and production browser smoke tests.</w:t>
            </w:r>
          </w:p>
        </w:tc>
      </w:tr>
    </w:tbl>
    <w:p/>
    <w:p>
      <w:pPr>
        <w:pStyle w:val="Heading1"/>
      </w:pPr>
      <w:r>
        <w:t>3. Chat Request Flow</w:t>
      </w: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60" w:type="dxa"/>
              <w:bottom w:w="120" w:type="dxa"/>
              <w:end w:w="160" w:type="dxa"/>
            </w:tcMar>
            <w:shd w:fill="F7F9FB"/>
          </w:tcPr>
          <w:p>
            <w:pPr>
              <w:spacing w:before="0" w:after="0" w:line="276" w:lineRule="auto"/>
            </w:pPr>
            <w:r>
              <w:rPr>
                <w:rFonts w:ascii="Consolas" w:hAnsi="Consolas"/>
                <w:color w:val="0B2545"/>
                <w:sz w:val="18"/>
              </w:rPr>
              <w:t>React ChatPage</w:t>
              <w:br/>
              <w:t>-&gt; frontend API client POST /api/chat</w:t>
              <w:br/>
              <w:t>-&gt; FastAPI auth dependency</w:t>
              <w:br/>
              <w:t>-&gt; chat_service.answer_user_question</w:t>
              <w:br/>
              <w:t>-&gt; quota_service.get_quota_status</w:t>
              <w:br/>
              <w:t>-&gt; question_repository creates question log</w:t>
              <w:br/>
              <w:t>-&gt; rag_pipeline answers the question</w:t>
              <w:br/>
              <w:t>-&gt; Spotify resolution runs when useful and configured</w:t>
              <w:br/>
              <w:t>-&gt; successful answer records usage</w:t>
              <w:br/>
              <w:t>-&gt; response returns answer, sources, Spotify cards, and plan usage</w:t>
            </w:r>
          </w:p>
        </w:tc>
      </w:tr>
    </w:tbl>
    <w:p/>
    <w:p>
      <w:pPr>
        <w:pStyle w:val="ListBullet"/>
        <w:spacing w:before="0" w:after="80" w:line="300" w:lineRule="auto"/>
      </w:pPr>
      <w:r>
        <w:rPr>
          <w:rFonts w:ascii="Calibri" w:hAnsi="Calibri"/>
          <w:color w:val="0B2545"/>
        </w:rPr>
        <w:t>Quota is checked before answering and usage is deducted only after a successful text answer.</w:t>
      </w:r>
    </w:p>
    <w:p>
      <w:pPr>
        <w:pStyle w:val="ListBullet"/>
        <w:spacing w:before="0" w:after="80" w:line="300" w:lineRule="auto"/>
      </w:pPr>
      <w:r>
        <w:rPr>
          <w:rFonts w:ascii="Calibri" w:hAnsi="Calibri"/>
          <w:color w:val="0B2545"/>
        </w:rPr>
        <w:t>Spotify failures should not break the main answer path.</w:t>
      </w:r>
    </w:p>
    <w:p>
      <w:pPr>
        <w:pStyle w:val="ListBullet"/>
        <w:spacing w:before="0" w:after="80" w:line="300" w:lineRule="auto"/>
      </w:pPr>
      <w:r>
        <w:rPr>
          <w:rFonts w:ascii="Calibri" w:hAnsi="Calibri"/>
          <w:color w:val="0B2545"/>
        </w:rPr>
        <w:t>The response includes updated plan and quota fields so the frontend can refresh counters immediately.</w:t>
      </w:r>
    </w:p>
    <w:p>
      <w:pPr>
        <w:pStyle w:val="Heading1"/>
      </w:pPr>
      <w:r>
        <w:t>4. Account Status and Plan Source of Truth</w:t>
      </w:r>
    </w:p>
    <w:p>
      <w:pPr>
        <w:spacing w:before="0" w:after="120" w:line="300" w:lineRule="auto"/>
      </w:pPr>
      <w:r>
        <w:rPr>
          <w:rFonts w:ascii="Calibri" w:hAnsi="Calibri"/>
          <w:color w:val="0B2545"/>
        </w:rPr>
        <w:t>GET /api/me returns the current user plus quota and feature state. The displayed plan is derived from quota/source-of-truth state rather than trusting a stale users.plan row. This is important because Stripe webhook reconciliation can discover paid access after checkout or subscription updates.</w:t>
      </w:r>
    </w:p>
    <w:tbl>
      <w:tblPr>
        <w:tblStyle w:val="TableGrid"/>
        <w:tblW w:type="dxa" w:w="9360"/>
        <w:jc w:val="left"/>
        <w:tblLook w:firstColumn="1" w:firstRow="1" w:lastColumn="0" w:lastRow="0" w:noHBand="0" w:noVBand="1" w:val="04A0"/>
        <w:tblInd w:w="120" w:type="dxa"/>
        <w:tblLayout w:type="fixed"/>
      </w:tblPr>
      <w:tblGrid>
        <w:gridCol w:w="2200"/>
        <w:gridCol w:w="7160"/>
      </w:tblGrid>
      <w:tr>
        <w:tc>
          <w:tcPr>
            <w:tcW w:type="dxa" w:w="2200"/>
            <w:tcMar>
              <w:top w:w="80" w:type="dxa"/>
              <w:start w:w="120" w:type="dxa"/>
              <w:bottom w:w="80" w:type="dxa"/>
              <w:end w:w="120" w:type="dxa"/>
            </w:tcMar>
            <w:shd w:fill="E8EEF5"/>
            <w:vAlign w:val="center"/>
          </w:tcPr>
          <w:p>
            <w:r>
              <w:rPr>
                <w:rFonts w:ascii="Calibri" w:hAnsi="Calibri"/>
                <w:b/>
                <w:color w:val="0B2545"/>
                <w:sz w:val="20"/>
              </w:rPr>
              <w:t>Response area</w:t>
            </w:r>
          </w:p>
        </w:tc>
        <w:tc>
          <w:tcPr>
            <w:tcW w:type="dxa" w:w="7160"/>
            <w:tcMar>
              <w:top w:w="80" w:type="dxa"/>
              <w:start w:w="120" w:type="dxa"/>
              <w:bottom w:w="80" w:type="dxa"/>
              <w:end w:w="120" w:type="dxa"/>
            </w:tcMar>
            <w:shd w:fill="E8EEF5"/>
            <w:vAlign w:val="center"/>
          </w:tcPr>
          <w:p>
            <w:r>
              <w:rPr>
                <w:rFonts w:ascii="Calibri" w:hAnsi="Calibri"/>
                <w:b/>
                <w:color w:val="0B2545"/>
                <w:sz w:val="20"/>
              </w:rPr>
              <w:t>Meaning</w:t>
            </w:r>
          </w:p>
        </w:tc>
      </w:tr>
      <w:tr>
        <w:tc>
          <w:tcPr>
            <w:tcW w:type="dxa" w:w="22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user</w:t>
            </w:r>
          </w:p>
        </w:tc>
        <w:tc>
          <w:tcPr>
            <w:tcW w:type="dxa" w:w="71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Browser-safe user fields including id, email, display name, plan, and subscription status.</w:t>
            </w:r>
          </w:p>
        </w:tc>
      </w:tr>
      <w:tr>
        <w:tc>
          <w:tcPr>
            <w:tcW w:type="dxa" w:w="22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usage</w:t>
            </w:r>
          </w:p>
        </w:tc>
        <w:tc>
          <w:tcPr>
            <w:tcW w:type="dxa" w:w="71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Current plan, feature limits, remaining questions, and extra credit state.</w:t>
            </w:r>
          </w:p>
        </w:tc>
      </w:tr>
      <w:tr>
        <w:tc>
          <w:tcPr>
            <w:tcW w:type="dxa" w:w="22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plan display</w:t>
            </w:r>
          </w:p>
        </w:tc>
        <w:tc>
          <w:tcPr>
            <w:tcW w:type="dxa" w:w="71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 topbar and pricing page should read the reconciled account status.</w:t>
            </w:r>
          </w:p>
        </w:tc>
      </w:tr>
    </w:tbl>
    <w:p/>
    <w:p>
      <w:pPr>
        <w:pStyle w:val="Heading1"/>
      </w:pPr>
      <w:r>
        <w:t>5. Billing Flow</w:t>
      </w:r>
    </w:p>
    <w:tbl>
      <w:tblPr>
        <w:tblStyle w:val="TableGrid"/>
        <w:tblW w:type="dxa" w:w="9360"/>
        <w:jc w:val="left"/>
        <w:tblLook w:firstColumn="1" w:firstRow="1" w:lastColumn="0" w:lastRow="0" w:noHBand="0" w:noVBand="1" w:val="04A0"/>
        <w:tblInd w:w="120" w:type="dxa"/>
        <w:tblLayout w:type="fixed"/>
      </w:tblPr>
      <w:tblGrid>
        <w:gridCol w:w="2350"/>
        <w:gridCol w:w="2850"/>
        <w:gridCol w:w="4160"/>
      </w:tblGrid>
      <w:tr>
        <w:tc>
          <w:tcPr>
            <w:tcW w:type="dxa" w:w="2350"/>
            <w:tcMar>
              <w:top w:w="80" w:type="dxa"/>
              <w:start w:w="120" w:type="dxa"/>
              <w:bottom w:w="80" w:type="dxa"/>
              <w:end w:w="120" w:type="dxa"/>
            </w:tcMar>
            <w:shd w:fill="E8EEF5"/>
            <w:vAlign w:val="center"/>
          </w:tcPr>
          <w:p>
            <w:r>
              <w:rPr>
                <w:rFonts w:ascii="Calibri" w:hAnsi="Calibri"/>
                <w:b/>
                <w:color w:val="0B2545"/>
                <w:sz w:val="20"/>
              </w:rPr>
              <w:t>Job</w:t>
            </w:r>
          </w:p>
        </w:tc>
        <w:tc>
          <w:tcPr>
            <w:tcW w:type="dxa" w:w="2850"/>
            <w:tcMar>
              <w:top w:w="80" w:type="dxa"/>
              <w:start w:w="120" w:type="dxa"/>
              <w:bottom w:w="80" w:type="dxa"/>
              <w:end w:w="120" w:type="dxa"/>
            </w:tcMar>
            <w:shd w:fill="E8EEF5"/>
            <w:vAlign w:val="center"/>
          </w:tcPr>
          <w:p>
            <w:r>
              <w:rPr>
                <w:rFonts w:ascii="Calibri" w:hAnsi="Calibri"/>
                <w:b/>
                <w:color w:val="0B2545"/>
                <w:sz w:val="20"/>
              </w:rPr>
              <w:t>Endpoint</w:t>
            </w:r>
          </w:p>
        </w:tc>
        <w:tc>
          <w:tcPr>
            <w:tcW w:type="dxa" w:w="4160"/>
            <w:tcMar>
              <w:top w:w="80" w:type="dxa"/>
              <w:start w:w="120" w:type="dxa"/>
              <w:bottom w:w="80" w:type="dxa"/>
              <w:end w:w="120" w:type="dxa"/>
            </w:tcMar>
            <w:shd w:fill="E8EEF5"/>
            <w:vAlign w:val="center"/>
          </w:tcPr>
          <w:p>
            <w:r>
              <w:rPr>
                <w:rFonts w:ascii="Calibri" w:hAnsi="Calibri"/>
                <w:b/>
                <w:color w:val="0B2545"/>
                <w:sz w:val="20"/>
              </w:rPr>
              <w:t>Reason</w:t>
            </w:r>
          </w:p>
        </w:tc>
      </w:tr>
      <w:tr>
        <w:tc>
          <w:tcPr>
            <w:tcW w:type="dxa" w:w="2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First paid subscription</w:t>
            </w:r>
          </w:p>
        </w:tc>
        <w:tc>
          <w:tcPr>
            <w:tcW w:type="dxa" w:w="28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POST /api/billing/checkout-session</w:t>
            </w:r>
          </w:p>
        </w:tc>
        <w:tc>
          <w:tcPr>
            <w:tcW w:type="dxa" w:w="41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Stripe Checkout owns first purchase and payment collection.</w:t>
            </w:r>
          </w:p>
        </w:tc>
      </w:tr>
      <w:tr>
        <w:tc>
          <w:tcPr>
            <w:tcW w:type="dxa" w:w="2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Billing management</w:t>
            </w:r>
          </w:p>
        </w:tc>
        <w:tc>
          <w:tcPr>
            <w:tcW w:type="dxa" w:w="28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POST /api/billing/portal-session</w:t>
            </w:r>
          </w:p>
        </w:tc>
        <w:tc>
          <w:tcPr>
            <w:tcW w:type="dxa" w:w="41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Stripe Portal owns payment methods, invoices, cancellation, and downgrades.</w:t>
            </w:r>
          </w:p>
        </w:tc>
      </w:tr>
      <w:tr>
        <w:tc>
          <w:tcPr>
            <w:tcW w:type="dxa" w:w="2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Creator to Pro upgrade</w:t>
            </w:r>
          </w:p>
        </w:tc>
        <w:tc>
          <w:tcPr>
            <w:tcW w:type="dxa" w:w="28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POST /api/billing/subscription-plan</w:t>
            </w:r>
          </w:p>
        </w:tc>
        <w:tc>
          <w:tcPr>
            <w:tcW w:type="dxa" w:w="41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The app replaces one existing subscription item price in place.</w:t>
            </w:r>
          </w:p>
        </w:tc>
      </w:tr>
      <w:tr>
        <w:tc>
          <w:tcPr>
            <w:tcW w:type="dxa" w:w="2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Provider reconciliation</w:t>
            </w:r>
          </w:p>
        </w:tc>
        <w:tc>
          <w:tcPr>
            <w:tcW w:type="dxa" w:w="28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POST /api/billing/webhook</w:t>
            </w:r>
          </w:p>
        </w:tc>
        <w:tc>
          <w:tcPr>
            <w:tcW w:type="dxa" w:w="41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Stripe webhook is the source of truth for paid access.</w:t>
            </w:r>
          </w:p>
        </w:tc>
      </w:tr>
    </w:tbl>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60" w:type="dxa"/>
              <w:bottom w:w="120" w:type="dxa"/>
              <w:end w:w="160" w:type="dxa"/>
            </w:tcMar>
            <w:shd w:fill="F7F9FB"/>
          </w:tcPr>
          <w:p>
            <w:pPr>
              <w:spacing w:before="0" w:after="0" w:line="276" w:lineRule="auto"/>
            </w:pPr>
            <w:r>
              <w:rPr>
                <w:rFonts w:ascii="Consolas" w:hAnsi="Consolas"/>
                <w:color w:val="0B2545"/>
                <w:sz w:val="18"/>
              </w:rPr>
              <w:t>PricingPage Pro button</w:t>
              <w:br/>
              <w:t>-&gt; POST /api/billing/subscription-plan { plan_code: 'pro' }</w:t>
              <w:br/>
              <w:t>-&gt; billing_service.change_subscription_plan</w:t>
              <w:br/>
              <w:t>-&gt; load current provider subscription from PostgreSQL</w:t>
              <w:br/>
              <w:t>-&gt; retrieve Stripe subscription and existing subscription item</w:t>
              <w:br/>
              <w:t>-&gt; Stripe Subscription.modify(items=[{ id, price: STRIPE_PRO_PRICE_ID }])</w:t>
              <w:br/>
              <w:t>-&gt; sync updated subscription into local database</w:t>
              <w:br/>
              <w:t>-&gt; return account status</w:t>
            </w:r>
          </w:p>
        </w:tc>
      </w:tr>
    </w:tbl>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60" w:type="dxa"/>
              <w:bottom w:w="120" w:type="dxa"/>
              <w:end w:w="160" w:type="dxa"/>
            </w:tcMar>
            <w:shd w:fill="F4F6F9"/>
            <w:vAlign w:val="center"/>
          </w:tcPr>
          <w:p>
            <w:pPr>
              <w:spacing w:before="0" w:after="40" w:line="300" w:lineRule="auto"/>
            </w:pPr>
            <w:r>
              <w:rPr>
                <w:rFonts w:ascii="Calibri" w:hAnsi="Calibri"/>
                <w:b/>
                <w:color w:val="1F4D78"/>
                <w:sz w:val="21"/>
              </w:rPr>
              <w:t>Billing safety decision</w:t>
            </w:r>
            <w:r>
              <w:br/>
            </w:r>
            <w:r>
              <w:rPr>
                <w:rFonts w:ascii="Calibri" w:hAnsi="Calibri"/>
                <w:color w:val="0B2545"/>
                <w:sz w:val="21"/>
              </w:rPr>
              <w:t>The direct upgrade path changes the existing subscription item. It does not create a new Checkout session for an already-subscribed user, which avoids duplicate subscriptions and confusing invoices.</w:t>
            </w:r>
          </w:p>
        </w:tc>
      </w:tr>
    </w:tbl>
    <w:p/>
    <w:p>
      <w:pPr>
        <w:pStyle w:val="Heading1"/>
      </w:pPr>
      <w:r>
        <w:t>6. Runtime Modes</w:t>
      </w:r>
    </w:p>
    <w:tbl>
      <w:tblPr>
        <w:tblStyle w:val="TableGrid"/>
        <w:tblW w:type="dxa" w:w="9360"/>
        <w:jc w:val="left"/>
        <w:tblLook w:firstColumn="1" w:firstRow="1" w:lastColumn="0" w:lastRow="0" w:noHBand="0" w:noVBand="1" w:val="04A0"/>
        <w:tblInd w:w="120" w:type="dxa"/>
        <w:tblLayout w:type="fixed"/>
      </w:tblPr>
      <w:tblGrid>
        <w:gridCol w:w="2100"/>
        <w:gridCol w:w="4300"/>
        <w:gridCol w:w="2960"/>
      </w:tblGrid>
      <w:tr>
        <w:tc>
          <w:tcPr>
            <w:tcW w:type="dxa" w:w="2100"/>
            <w:tcMar>
              <w:top w:w="80" w:type="dxa"/>
              <w:start w:w="120" w:type="dxa"/>
              <w:bottom w:w="80" w:type="dxa"/>
              <w:end w:w="120" w:type="dxa"/>
            </w:tcMar>
            <w:shd w:fill="E8EEF5"/>
            <w:vAlign w:val="center"/>
          </w:tcPr>
          <w:p>
            <w:r>
              <w:rPr>
                <w:rFonts w:ascii="Calibri" w:hAnsi="Calibri"/>
                <w:b/>
                <w:color w:val="0B2545"/>
                <w:sz w:val="20"/>
              </w:rPr>
              <w:t>Mode</w:t>
            </w:r>
          </w:p>
        </w:tc>
        <w:tc>
          <w:tcPr>
            <w:tcW w:type="dxa" w:w="4300"/>
            <w:tcMar>
              <w:top w:w="80" w:type="dxa"/>
              <w:start w:w="120" w:type="dxa"/>
              <w:bottom w:w="80" w:type="dxa"/>
              <w:end w:w="120" w:type="dxa"/>
            </w:tcMar>
            <w:shd w:fill="E8EEF5"/>
            <w:vAlign w:val="center"/>
          </w:tcPr>
          <w:p>
            <w:r>
              <w:rPr>
                <w:rFonts w:ascii="Calibri" w:hAnsi="Calibri"/>
                <w:b/>
                <w:color w:val="0B2545"/>
                <w:sz w:val="20"/>
              </w:rPr>
              <w:t>Core environment</w:t>
            </w:r>
          </w:p>
        </w:tc>
        <w:tc>
          <w:tcPr>
            <w:tcW w:type="dxa" w:w="2960"/>
            <w:tcMar>
              <w:top w:w="80" w:type="dxa"/>
              <w:start w:w="120" w:type="dxa"/>
              <w:bottom w:w="80" w:type="dxa"/>
              <w:end w:w="120" w:type="dxa"/>
            </w:tcMar>
            <w:shd w:fill="E8EEF5"/>
            <w:vAlign w:val="center"/>
          </w:tcPr>
          <w:p>
            <w:r>
              <w:rPr>
                <w:rFonts w:ascii="Calibri" w:hAnsi="Calibri"/>
                <w:b/>
                <w:color w:val="0B2545"/>
                <w:sz w:val="20"/>
              </w:rPr>
              <w:t>What it optimizes</w:t>
            </w:r>
          </w:p>
        </w:tc>
      </w:tr>
      <w:tr>
        <w:tc>
          <w:tcPr>
            <w:tcW w:type="dxa" w:w="21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Production lightweight</w:t>
            </w:r>
          </w:p>
        </w:tc>
        <w:tc>
          <w:tcPr>
            <w:tcW w:type="dxa" w:w="43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SONICMIND_MODE=production_light; SONICMIND_RETRIEVAL_BACKEND=lexical; ENABLE_LOCAL_EMBEDDING_MODEL=false; ENABLE_RERANKER=false</w:t>
            </w:r>
          </w:p>
        </w:tc>
        <w:tc>
          <w:tcPr>
            <w:tcW w:type="dxa" w:w="29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Render 2 GB stability. Avoids torch, sentence-transformers, FAISS, and startup model loading.</w:t>
            </w:r>
          </w:p>
        </w:tc>
      </w:tr>
      <w:tr>
        <w:tc>
          <w:tcPr>
            <w:tcW w:type="dxa" w:w="21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Local semantic</w:t>
            </w:r>
          </w:p>
        </w:tc>
        <w:tc>
          <w:tcPr>
            <w:tcW w:type="dxa" w:w="43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SONICMIND_MODE=local_semantic; SONICMIND_RETRIEVAL_BACKEND=faiss; ENABLE_LOCAL_EMBEDDING_MODEL=true; ENABLE_RERANKER=true</w:t>
            </w:r>
          </w:p>
        </w:tc>
        <w:tc>
          <w:tcPr>
            <w:tcW w:type="dxa" w:w="29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Higher local answer quality and semantic retrieval testing with heavier dependencies.</w:t>
            </w:r>
          </w:p>
        </w:tc>
      </w:tr>
    </w:tbl>
    <w:p/>
    <w:p>
      <w:pPr>
        <w:spacing w:before="0" w:after="120" w:line="300" w:lineRule="auto"/>
      </w:pPr>
      <w:r>
        <w:rPr>
          <w:rFonts w:ascii="Calibri" w:hAnsi="Calibri"/>
          <w:color w:val="0B2545"/>
        </w:rPr>
        <w:t>Production mode intentionally sacrifices some semantic recall so the deployed backend can stay stable under the Render 2 GB memory ceiling. Semantic mode remains available for local testing or a future larger backend instance.</w:t>
      </w:r>
    </w:p>
    <w:p>
      <w:pPr>
        <w:pStyle w:val="Heading1"/>
      </w:pPr>
      <w:r>
        <w:t>7. Retrieval and Music Reasoning</w:t>
      </w:r>
    </w:p>
    <w:p>
      <w:pPr>
        <w:spacing w:before="0" w:after="120" w:line="300" w:lineRule="auto"/>
      </w:pPr>
      <w:r>
        <w:rPr>
          <w:rFonts w:ascii="Calibri" w:hAnsi="Calibri"/>
          <w:color w:val="0B2545"/>
        </w:rPr>
        <w:t>The music pipeline is evidence-first. It classifies the query, gathers local or trusted-source evidence, normalizes entities, then synthesizes the answer. Spotify cards are resolved from specific candidates rather than broad query text.</w:t>
      </w:r>
    </w:p>
    <w:p>
      <w:pPr>
        <w:pStyle w:val="ListBullet"/>
        <w:spacing w:before="0" w:after="80" w:line="300" w:lineRule="auto"/>
      </w:pPr>
      <w:r>
        <w:rPr>
          <w:rFonts w:ascii="Calibri" w:hAnsi="Calibri"/>
          <w:color w:val="0B2545"/>
        </w:rPr>
        <w:t>Local knowledge is attempted first when it is relevant.</w:t>
      </w:r>
    </w:p>
    <w:p>
      <w:pPr>
        <w:pStyle w:val="ListBullet"/>
        <w:spacing w:before="0" w:after="80" w:line="300" w:lineRule="auto"/>
      </w:pPr>
      <w:r>
        <w:rPr>
          <w:rFonts w:ascii="Calibri" w:hAnsi="Calibri"/>
          <w:color w:val="0B2545"/>
        </w:rPr>
        <w:t>Trusted music sources and web retrieval help with artist profiles, current recommendations, and newly popular tracks.</w:t>
      </w:r>
    </w:p>
    <w:p>
      <w:pPr>
        <w:pStyle w:val="ListBullet"/>
        <w:spacing w:before="0" w:after="80" w:line="300" w:lineRule="auto"/>
      </w:pPr>
      <w:r>
        <w:rPr>
          <w:rFonts w:ascii="Calibri" w:hAnsi="Calibri"/>
          <w:color w:val="0B2545"/>
        </w:rPr>
        <w:t>Spotify card generation should follow the resolved artist, album, or track candidates used in the answer.</w:t>
      </w:r>
    </w:p>
    <w:p>
      <w:pPr>
        <w:pStyle w:val="ListBullet"/>
        <w:spacing w:before="0" w:after="80" w:line="300" w:lineRule="auto"/>
      </w:pPr>
      <w:r>
        <w:rPr>
          <w:rFonts w:ascii="Calibri" w:hAnsi="Calibri"/>
          <w:color w:val="0B2545"/>
        </w:rPr>
        <w:t>The production lexical mode is stable but can be less accurate than local semantic retrieval for niche artists and current-context questions.</w:t>
      </w:r>
    </w:p>
    <w:p>
      <w:pPr>
        <w:pStyle w:val="Heading1"/>
      </w:pPr>
      <w:r>
        <w:t>8. Frontend State and UI Boundaries</w:t>
      </w:r>
    </w:p>
    <w:tbl>
      <w:tblPr>
        <w:tblStyle w:val="TableGrid"/>
        <w:tblW w:type="dxa" w:w="9360"/>
        <w:jc w:val="left"/>
        <w:tblLook w:firstColumn="1" w:firstRow="1" w:lastColumn="0" w:lastRow="0" w:noHBand="0" w:noVBand="1" w:val="04A0"/>
        <w:tblInd w:w="120" w:type="dxa"/>
        <w:tblLayout w:type="fixed"/>
      </w:tblPr>
      <w:tblGrid>
        <w:gridCol w:w="3300"/>
        <w:gridCol w:w="6060"/>
      </w:tblGrid>
      <w:tr>
        <w:tc>
          <w:tcPr>
            <w:tcW w:type="dxa" w:w="3300"/>
            <w:tcMar>
              <w:top w:w="80" w:type="dxa"/>
              <w:start w:w="120" w:type="dxa"/>
              <w:bottom w:w="80" w:type="dxa"/>
              <w:end w:w="120" w:type="dxa"/>
            </w:tcMar>
            <w:shd w:fill="E8EEF5"/>
            <w:vAlign w:val="center"/>
          </w:tcPr>
          <w:p>
            <w:r>
              <w:rPr>
                <w:rFonts w:ascii="Calibri" w:hAnsi="Calibri"/>
                <w:b/>
                <w:color w:val="0B2545"/>
                <w:sz w:val="20"/>
              </w:rPr>
              <w:t>File</w:t>
            </w:r>
          </w:p>
        </w:tc>
        <w:tc>
          <w:tcPr>
            <w:tcW w:type="dxa" w:w="6060"/>
            <w:tcMar>
              <w:top w:w="80" w:type="dxa"/>
              <w:start w:w="120" w:type="dxa"/>
              <w:bottom w:w="80" w:type="dxa"/>
              <w:end w:w="120" w:type="dxa"/>
            </w:tcMar>
            <w:shd w:fill="E8EEF5"/>
            <w:vAlign w:val="center"/>
          </w:tcPr>
          <w:p>
            <w:r>
              <w:rPr>
                <w:rFonts w:ascii="Calibri" w:hAnsi="Calibri"/>
                <w:b/>
                <w:color w:val="0B2545"/>
                <w:sz w:val="20"/>
              </w:rPr>
              <w:t>What to inspect first</w:t>
            </w:r>
          </w:p>
        </w:tc>
      </w:tr>
      <w:tr>
        <w:tc>
          <w:tcPr>
            <w:tcW w:type="dxa" w:w="33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frontend/src/App.jsx</w:t>
            </w:r>
          </w:p>
        </w:tc>
        <w:tc>
          <w:tcPr>
            <w:tcW w:type="dxa" w:w="60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Top-level shell, routes, topbar plan/user display.</w:t>
            </w:r>
          </w:p>
        </w:tc>
      </w:tr>
      <w:tr>
        <w:tc>
          <w:tcPr>
            <w:tcW w:type="dxa" w:w="33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frontend/src/pages/PricingPage.jsx</w:t>
            </w:r>
          </w:p>
        </w:tc>
        <w:tc>
          <w:tcPr>
            <w:tcW w:type="dxa" w:w="60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Plan cards, checkout, portal session, and direct Pro upgrade behavior.</w:t>
            </w:r>
          </w:p>
        </w:tc>
      </w:tr>
      <w:tr>
        <w:tc>
          <w:tcPr>
            <w:tcW w:type="dxa" w:w="33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frontend/src/pages/ChatPage.jsx</w:t>
            </w:r>
          </w:p>
        </w:tc>
        <w:tc>
          <w:tcPr>
            <w:tcW w:type="dxa" w:w="60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Chat input, message list, account status, sources, favorites, and history panels.</w:t>
            </w:r>
          </w:p>
        </w:tc>
      </w:tr>
      <w:tr>
        <w:tc>
          <w:tcPr>
            <w:tcW w:type="dxa" w:w="33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frontend/src/api/client.js</w:t>
            </w:r>
          </w:p>
        </w:tc>
        <w:tc>
          <w:tcPr>
            <w:tcW w:type="dxa" w:w="60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Backend URL selection, bearer token injection, and request helpers.</w:t>
            </w:r>
          </w:p>
        </w:tc>
      </w:tr>
      <w:tr>
        <w:tc>
          <w:tcPr>
            <w:tcW w:type="dxa" w:w="33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frontend/src/store/authStore.js</w:t>
            </w:r>
          </w:p>
        </w:tc>
        <w:tc>
          <w:tcPr>
            <w:tcW w:type="dxa" w:w="606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Persisted token, user, and conversation state.</w:t>
            </w:r>
          </w:p>
        </w:tc>
      </w:tr>
    </w:tbl>
    <w:p/>
    <w:p>
      <w:pPr>
        <w:spacing w:before="0" w:after="120" w:line="300" w:lineRule="auto"/>
      </w:pPr>
      <w:r>
        <w:rPr>
          <w:rFonts w:ascii="Calibri" w:hAnsi="Calibri"/>
          <w:color w:val="0B2545"/>
        </w:rPr>
        <w:t>React Query owns server state. Zustand owns persisted client session state. After billing changes, the pricing page updates both React Query cache and stored user state so the topbar and chat quota display do not lag behind.</w:t>
      </w:r>
    </w:p>
    <w:p>
      <w:pPr>
        <w:pStyle w:val="Heading1"/>
      </w:pPr>
      <w:r>
        <w:t>9. Environment and Secret Boundaries</w:t>
      </w: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60" w:type="dxa"/>
              <w:bottom w:w="120" w:type="dxa"/>
              <w:end w:w="160" w:type="dxa"/>
            </w:tcMar>
            <w:shd w:fill="F4F6F9"/>
            <w:vAlign w:val="center"/>
          </w:tcPr>
          <w:p>
            <w:pPr>
              <w:spacing w:before="0" w:after="40" w:line="300" w:lineRule="auto"/>
            </w:pPr>
            <w:r>
              <w:rPr>
                <w:rFonts w:ascii="Calibri" w:hAnsi="Calibri"/>
                <w:b/>
                <w:color w:val="1F4D78"/>
                <w:sz w:val="21"/>
              </w:rPr>
              <w:t>Do not expose backend secrets</w:t>
            </w:r>
            <w:r>
              <w:br/>
            </w:r>
            <w:r>
              <w:rPr>
                <w:rFonts w:ascii="Calibri" w:hAnsi="Calibri"/>
                <w:color w:val="0B2545"/>
                <w:sz w:val="21"/>
              </w:rPr>
              <w:t>Only VITE_API_BASE_URL belongs in the frontend bundle. Database URLs, Stripe keys, OpenAI keys, JWT secrets, Spotify secrets, Tavily keys, and Discogs tokens must stay backend-only.</w:t>
            </w:r>
          </w:p>
        </w:tc>
      </w:tr>
    </w:tbl>
    <w:p/>
    <w:tbl>
      <w:tblPr>
        <w:tblStyle w:val="TableGrid"/>
        <w:tblW w:type="dxa" w:w="9360"/>
        <w:jc w:val="left"/>
        <w:tblLook w:firstColumn="1" w:firstRow="1" w:lastColumn="0" w:lastRow="0" w:noHBand="0" w:noVBand="1" w:val="04A0"/>
        <w:tblInd w:w="120" w:type="dxa"/>
        <w:tblLayout w:type="fixed"/>
      </w:tblPr>
      <w:tblGrid>
        <w:gridCol w:w="2200"/>
        <w:gridCol w:w="4550"/>
        <w:gridCol w:w="2610"/>
      </w:tblGrid>
      <w:tr>
        <w:tc>
          <w:tcPr>
            <w:tcW w:type="dxa" w:w="2200"/>
            <w:tcMar>
              <w:top w:w="80" w:type="dxa"/>
              <w:start w:w="120" w:type="dxa"/>
              <w:bottom w:w="80" w:type="dxa"/>
              <w:end w:w="120" w:type="dxa"/>
            </w:tcMar>
            <w:shd w:fill="E8EEF5"/>
            <w:vAlign w:val="center"/>
          </w:tcPr>
          <w:p>
            <w:r>
              <w:rPr>
                <w:rFonts w:ascii="Calibri" w:hAnsi="Calibri"/>
                <w:b/>
                <w:color w:val="0B2545"/>
                <w:sz w:val="20"/>
              </w:rPr>
              <w:t>Variable group</w:t>
            </w:r>
          </w:p>
        </w:tc>
        <w:tc>
          <w:tcPr>
            <w:tcW w:type="dxa" w:w="4550"/>
            <w:tcMar>
              <w:top w:w="80" w:type="dxa"/>
              <w:start w:w="120" w:type="dxa"/>
              <w:bottom w:w="80" w:type="dxa"/>
              <w:end w:w="120" w:type="dxa"/>
            </w:tcMar>
            <w:shd w:fill="E8EEF5"/>
            <w:vAlign w:val="center"/>
          </w:tcPr>
          <w:p>
            <w:r>
              <w:rPr>
                <w:rFonts w:ascii="Calibri" w:hAnsi="Calibri"/>
                <w:b/>
                <w:color w:val="0B2545"/>
                <w:sz w:val="20"/>
              </w:rPr>
              <w:t>Examples</w:t>
            </w:r>
          </w:p>
        </w:tc>
        <w:tc>
          <w:tcPr>
            <w:tcW w:type="dxa" w:w="2610"/>
            <w:tcMar>
              <w:top w:w="80" w:type="dxa"/>
              <w:start w:w="120" w:type="dxa"/>
              <w:bottom w:w="80" w:type="dxa"/>
              <w:end w:w="120" w:type="dxa"/>
            </w:tcMar>
            <w:shd w:fill="E8EEF5"/>
            <w:vAlign w:val="center"/>
          </w:tcPr>
          <w:p>
            <w:r>
              <w:rPr>
                <w:rFonts w:ascii="Calibri" w:hAnsi="Calibri"/>
                <w:b/>
                <w:color w:val="0B2545"/>
                <w:sz w:val="20"/>
              </w:rPr>
              <w:t>Where it belongs</w:t>
            </w:r>
          </w:p>
        </w:tc>
      </w:tr>
      <w:tr>
        <w:tc>
          <w:tcPr>
            <w:tcW w:type="dxa" w:w="22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Backend secrets</w:t>
            </w:r>
          </w:p>
        </w:tc>
        <w:tc>
          <w:tcPr>
            <w:tcW w:type="dxa" w:w="45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DATABASE_URL, BACKEND_SECRET_KEY, STRIPE_SECRET_KEY, STRIPE_WEBHOOK_SECRET, OPENAI_API_KEY</w:t>
            </w:r>
          </w:p>
        </w:tc>
        <w:tc>
          <w:tcPr>
            <w:tcW w:type="dxa" w:w="26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Render backend environment only.</w:t>
            </w:r>
          </w:p>
        </w:tc>
      </w:tr>
      <w:tr>
        <w:tc>
          <w:tcPr>
            <w:tcW w:type="dxa" w:w="22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Backend public behavior</w:t>
            </w:r>
          </w:p>
        </w:tc>
        <w:tc>
          <w:tcPr>
            <w:tcW w:type="dxa" w:w="45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APP_ENV, SONICMIND_MODE, SONICMIND_RETRIEVAL_BACKEND, RAG_TOP_K</w:t>
            </w:r>
          </w:p>
        </w:tc>
        <w:tc>
          <w:tcPr>
            <w:tcW w:type="dxa" w:w="26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Render backend environment and local .env files.</w:t>
            </w:r>
          </w:p>
        </w:tc>
      </w:tr>
      <w:tr>
        <w:tc>
          <w:tcPr>
            <w:tcW w:type="dxa" w:w="220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Frontend config</w:t>
            </w:r>
          </w:p>
        </w:tc>
        <w:tc>
          <w:tcPr>
            <w:tcW w:type="dxa" w:w="45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VITE_API_BASE_URL=https://sonicmind-api.onrender.com</w:t>
            </w:r>
          </w:p>
        </w:tc>
        <w:tc>
          <w:tcPr>
            <w:tcW w:type="dxa" w:w="26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Render frontend static site environment only.</w:t>
            </w:r>
          </w:p>
        </w:tc>
      </w:tr>
    </w:tbl>
    <w:p/>
    <w:p>
      <w:pPr>
        <w:pStyle w:val="Heading1"/>
      </w:pPr>
      <w:r>
        <w:t>10. Verification Commands</w:t>
      </w:r>
    </w:p>
    <w:tbl>
      <w:tblPr>
        <w:tblStyle w:val="TableGrid"/>
        <w:tblW w:type="dxa" w:w="9360"/>
        <w:jc w:val="left"/>
        <w:tblLook w:firstColumn="1" w:firstRow="1" w:lastColumn="0" w:lastRow="0" w:noHBand="0" w:noVBand="1" w:val="04A0"/>
        <w:tblInd w:w="120" w:type="dxa"/>
        <w:tblLayout w:type="fixed"/>
      </w:tblPr>
      <w:tblGrid>
        <w:gridCol w:w="9360"/>
      </w:tblGrid>
      <w:tr>
        <w:tc>
          <w:tcPr>
            <w:tcW w:type="dxa" w:w="9360"/>
            <w:tcMar>
              <w:top w:w="120" w:type="dxa"/>
              <w:start w:w="160" w:type="dxa"/>
              <w:bottom w:w="120" w:type="dxa"/>
              <w:end w:w="160" w:type="dxa"/>
            </w:tcMar>
            <w:shd w:fill="F7F9FB"/>
          </w:tcPr>
          <w:p>
            <w:pPr>
              <w:spacing w:before="0" w:after="0" w:line="276" w:lineRule="auto"/>
            </w:pPr>
            <w:r>
              <w:rPr>
                <w:rFonts w:ascii="Consolas" w:hAnsi="Consolas"/>
                <w:color w:val="0B2545"/>
                <w:sz w:val="18"/>
              </w:rPr>
              <w:t>.venv/bin/python -m pytest</w:t>
              <w:br/>
              <w:t>cd frontend &amp;&amp; npm run build</w:t>
              <w:br/>
              <w:t>.venv/bin/python scripts/memory_probe.py --mode lexical</w:t>
              <w:br/>
              <w:t>cd frontend &amp;&amp; FRONTEND_URL=https://sonicmind.onrender.com BACKEND_URL=https://sonicmind-api.onrender.com EXPECTED_RETRIEVAL_BACKEND=lexical npm run test:prod</w:t>
            </w:r>
          </w:p>
        </w:tc>
      </w:tr>
    </w:tbl>
    <w:p/>
    <w:tbl>
      <w:tblPr>
        <w:tblStyle w:val="TableGrid"/>
        <w:tblW w:type="dxa" w:w="9360"/>
        <w:jc w:val="left"/>
        <w:tblLook w:firstColumn="1" w:firstRow="1" w:lastColumn="0" w:lastRow="0" w:noHBand="0" w:noVBand="1" w:val="04A0"/>
        <w:tblInd w:w="120" w:type="dxa"/>
        <w:tblLayout w:type="fixed"/>
      </w:tblPr>
      <w:tblGrid>
        <w:gridCol w:w="3350"/>
        <w:gridCol w:w="6010"/>
      </w:tblGrid>
      <w:tr>
        <w:tc>
          <w:tcPr>
            <w:tcW w:type="dxa" w:w="3350"/>
            <w:tcMar>
              <w:top w:w="80" w:type="dxa"/>
              <w:start w:w="120" w:type="dxa"/>
              <w:bottom w:w="80" w:type="dxa"/>
              <w:end w:w="120" w:type="dxa"/>
            </w:tcMar>
            <w:shd w:fill="E8EEF5"/>
            <w:vAlign w:val="center"/>
          </w:tcPr>
          <w:p>
            <w:r>
              <w:rPr>
                <w:rFonts w:ascii="Calibri" w:hAnsi="Calibri"/>
                <w:b/>
                <w:color w:val="0B2545"/>
                <w:sz w:val="20"/>
              </w:rPr>
              <w:t>Test group</w:t>
            </w:r>
          </w:p>
        </w:tc>
        <w:tc>
          <w:tcPr>
            <w:tcW w:type="dxa" w:w="6010"/>
            <w:tcMar>
              <w:top w:w="80" w:type="dxa"/>
              <w:start w:w="120" w:type="dxa"/>
              <w:bottom w:w="80" w:type="dxa"/>
              <w:end w:w="120" w:type="dxa"/>
            </w:tcMar>
            <w:shd w:fill="E8EEF5"/>
            <w:vAlign w:val="center"/>
          </w:tcPr>
          <w:p>
            <w:r>
              <w:rPr>
                <w:rFonts w:ascii="Calibri" w:hAnsi="Calibri"/>
                <w:b/>
                <w:color w:val="0B2545"/>
                <w:sz w:val="20"/>
              </w:rPr>
              <w:t>Why it matters</w:t>
            </w:r>
          </w:p>
        </w:tc>
      </w:tr>
      <w:tr>
        <w:tc>
          <w:tcPr>
            <w:tcW w:type="dxa" w:w="3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tests/test_api.py</w:t>
            </w:r>
          </w:p>
        </w:tc>
        <w:tc>
          <w:tcPr>
            <w:tcW w:type="dxa" w:w="60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Health, chat API, and account status behavior.</w:t>
            </w:r>
          </w:p>
        </w:tc>
      </w:tr>
      <w:tr>
        <w:tc>
          <w:tcPr>
            <w:tcW w:type="dxa" w:w="3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tests/test_billing_api.py</w:t>
            </w:r>
          </w:p>
        </w:tc>
        <w:tc>
          <w:tcPr>
            <w:tcW w:type="dxa" w:w="60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Checkout, portal, subscription-plan, and webhook routes.</w:t>
            </w:r>
          </w:p>
        </w:tc>
      </w:tr>
      <w:tr>
        <w:tc>
          <w:tcPr>
            <w:tcW w:type="dxa" w:w="3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tests/test_billing_service.py</w:t>
            </w:r>
          </w:p>
        </w:tc>
        <w:tc>
          <w:tcPr>
            <w:tcW w:type="dxa" w:w="60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Stripe sync and plan-change service behavior.</w:t>
            </w:r>
          </w:p>
        </w:tc>
      </w:tr>
      <w:tr>
        <w:tc>
          <w:tcPr>
            <w:tcW w:type="dxa" w:w="3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tests/test_runtime_modes.py</w:t>
            </w:r>
          </w:p>
        </w:tc>
        <w:tc>
          <w:tcPr>
            <w:tcW w:type="dxa" w:w="60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Lightweight import behavior and semantic mode configuration.</w:t>
            </w:r>
          </w:p>
        </w:tc>
      </w:tr>
      <w:tr>
        <w:tc>
          <w:tcPr>
            <w:tcW w:type="dxa" w:w="3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tests/test_music_intent.py</w:t>
            </w:r>
          </w:p>
        </w:tc>
        <w:tc>
          <w:tcPr>
            <w:tcW w:type="dxa" w:w="60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Music query understanding and route selection.</w:t>
            </w:r>
          </w:p>
        </w:tc>
      </w:tr>
      <w:tr>
        <w:tc>
          <w:tcPr>
            <w:tcW w:type="dxa" w:w="335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tests/test_spotify_artist_albums.py</w:t>
            </w:r>
          </w:p>
        </w:tc>
        <w:tc>
          <w:tcPr>
            <w:tcW w:type="dxa" w:w="6010"/>
            <w:shd w:fill="FFFFFF"/>
            <w:vAlign w:val="center"/>
            <w:tcMar>
              <w:top w:w="80" w:type="dxa"/>
              <w:start w:w="120" w:type="dxa"/>
              <w:bottom w:w="80" w:type="dxa"/>
              <w:end w:w="120" w:type="dxa"/>
            </w:tcMar>
          </w:tcPr>
          <w:p>
            <w:pPr>
              <w:spacing w:before="0" w:after="0" w:line="288" w:lineRule="auto"/>
            </w:pPr>
            <w:r>
              <w:rPr>
                <w:rFonts w:ascii="Calibri" w:hAnsi="Calibri"/>
                <w:color w:val="0B2545"/>
                <w:sz w:val="19"/>
              </w:rPr>
              <w:t>Spotify artist, album, and fallback behavior.</w:t>
            </w:r>
          </w:p>
        </w:tc>
      </w:tr>
    </w:tbl>
    <w:p/>
    <w:p>
      <w:pPr>
        <w:pStyle w:val="Heading1"/>
      </w:pPr>
      <w:r>
        <w:t>11. Review Notes and Remaining Risks</w:t>
      </w:r>
    </w:p>
    <w:p>
      <w:pPr>
        <w:pStyle w:val="ListBullet"/>
        <w:spacing w:before="0" w:after="80" w:line="300" w:lineRule="auto"/>
      </w:pPr>
      <w:r>
        <w:rPr>
          <w:rFonts w:ascii="Calibri" w:hAnsi="Calibri"/>
          <w:color w:val="0B2545"/>
        </w:rPr>
        <w:t>README and rationale have been updated from older Streamlit wording to the current React + FastAPI deployment.</w:t>
      </w:r>
    </w:p>
    <w:p>
      <w:pPr>
        <w:pStyle w:val="ListBullet"/>
        <w:spacing w:before="0" w:after="80" w:line="300" w:lineRule="auto"/>
      </w:pPr>
      <w:r>
        <w:rPr>
          <w:rFonts w:ascii="Calibri" w:hAnsi="Calibri"/>
          <w:color w:val="0B2545"/>
        </w:rPr>
        <w:t>render.yaml now points to https://sonicmind.onrender.com instead of the older frontend placeholder.</w:t>
      </w:r>
    </w:p>
    <w:p>
      <w:pPr>
        <w:pStyle w:val="ListBullet"/>
        <w:spacing w:before="0" w:after="80" w:line="300" w:lineRule="auto"/>
      </w:pPr>
      <w:r>
        <w:rPr>
          <w:rFonts w:ascii="Calibri" w:hAnsi="Calibri"/>
          <w:color w:val="0B2545"/>
        </w:rPr>
        <w:t>Stripe billing docs now include direct Creator to Pro upgrades and the production webhook URL.</w:t>
      </w:r>
    </w:p>
    <w:p>
      <w:pPr>
        <w:pStyle w:val="ListBullet"/>
        <w:spacing w:before="0" w:after="80" w:line="300" w:lineRule="auto"/>
      </w:pPr>
      <w:r>
        <w:rPr>
          <w:rFonts w:ascii="Calibri" w:hAnsi="Calibri"/>
          <w:color w:val="0B2545"/>
        </w:rPr>
        <w:t>Extra-pack purchases remain planned rather than implemented.</w:t>
      </w:r>
    </w:p>
    <w:p>
      <w:pPr>
        <w:pStyle w:val="ListBullet"/>
        <w:spacing w:before="0" w:after="80" w:line="300" w:lineRule="auto"/>
      </w:pPr>
      <w:r>
        <w:rPr>
          <w:rFonts w:ascii="Calibri" w:hAnsi="Calibri"/>
          <w:color w:val="0B2545"/>
        </w:rPr>
        <w:t>A future larger launch should harden auth/session management beyond the current prototype token.</w:t>
      </w:r>
    </w:p>
    <w:p>
      <w:pPr>
        <w:pStyle w:val="Heading1"/>
      </w:pPr>
      <w:r>
        <w:t>12. Recommended Reading Order</w:t>
      </w:r>
    </w:p>
    <w:p>
      <w:pPr>
        <w:pStyle w:val="ListNumber"/>
        <w:spacing w:before="0" w:after="80" w:line="300" w:lineRule="auto"/>
      </w:pPr>
      <w:r>
        <w:rPr>
          <w:rFonts w:ascii="Calibri" w:hAnsi="Calibri"/>
          <w:color w:val="0B2545"/>
        </w:rPr>
        <w:t>README.md for setup, deployed URLs, and developer commands.</w:t>
      </w:r>
    </w:p>
    <w:p>
      <w:pPr>
        <w:pStyle w:val="ListNumber"/>
        <w:spacing w:before="0" w:after="80" w:line="300" w:lineRule="auto"/>
      </w:pPr>
      <w:r>
        <w:rPr>
          <w:rFonts w:ascii="Calibri" w:hAnsi="Calibri"/>
          <w:color w:val="0B2545"/>
        </w:rPr>
        <w:t>README_TECHNICAL_RATIONALE.md for architecture decisions and debugging history.</w:t>
      </w:r>
    </w:p>
    <w:p>
      <w:pPr>
        <w:pStyle w:val="ListNumber"/>
        <w:spacing w:before="0" w:after="80" w:line="300" w:lineRule="auto"/>
      </w:pPr>
      <w:r>
        <w:rPr>
          <w:rFonts w:ascii="Calibri" w:hAnsi="Calibri"/>
          <w:color w:val="0B2545"/>
        </w:rPr>
        <w:t>backend/main.py and backend/schemas.py for API boundaries.</w:t>
      </w:r>
    </w:p>
    <w:p>
      <w:pPr>
        <w:pStyle w:val="ListNumber"/>
        <w:spacing w:before="0" w:after="80" w:line="300" w:lineRule="auto"/>
      </w:pPr>
      <w:r>
        <w:rPr>
          <w:rFonts w:ascii="Calibri" w:hAnsi="Calibri"/>
          <w:color w:val="0B2545"/>
        </w:rPr>
        <w:t>backend/services/chat_service.py and src/rag_pipeline.py for chat behavior.</w:t>
      </w:r>
    </w:p>
    <w:p>
      <w:pPr>
        <w:pStyle w:val="ListNumber"/>
        <w:spacing w:before="0" w:after="80" w:line="300" w:lineRule="auto"/>
      </w:pPr>
      <w:r>
        <w:rPr>
          <w:rFonts w:ascii="Calibri" w:hAnsi="Calibri"/>
          <w:color w:val="0B2545"/>
        </w:rPr>
        <w:t>src/services/quota_service.py for usage enforcement.</w:t>
      </w:r>
    </w:p>
    <w:p>
      <w:pPr>
        <w:pStyle w:val="ListNumber"/>
        <w:spacing w:before="0" w:after="80" w:line="300" w:lineRule="auto"/>
      </w:pPr>
      <w:r>
        <w:rPr>
          <w:rFonts w:ascii="Calibri" w:hAnsi="Calibri"/>
          <w:color w:val="0B2545"/>
        </w:rPr>
        <w:t>backend/services/billing_service.py for Stripe behavior.</w:t>
      </w:r>
    </w:p>
    <w:p>
      <w:pPr>
        <w:pStyle w:val="ListNumber"/>
        <w:spacing w:before="0" w:after="80" w:line="300" w:lineRule="auto"/>
      </w:pPr>
      <w:r>
        <w:rPr>
          <w:rFonts w:ascii="Calibri" w:hAnsi="Calibri"/>
          <w:color w:val="0B2545"/>
        </w:rPr>
        <w:t>frontend/src/pages/PricingPage.jsx and frontend/src/pages/ChatPage.jsx for user workflows.</w:t>
      </w:r>
    </w:p>
    <w:p>
      <w:pPr>
        <w:pStyle w:val="ListNumber"/>
        <w:spacing w:before="0" w:after="80" w:line="300" w:lineRule="auto"/>
      </w:pPr>
      <w:r>
        <w:rPr>
          <w:rFonts w:ascii="Calibri" w:hAnsi="Calibri"/>
          <w:color w:val="0B2545"/>
        </w:rPr>
        <w:t>Run the test suite before changing production-facing behavior.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right"/>
    </w:pPr>
    <w:r>
      <w:rPr>
        <w:rFonts w:ascii="Calibri" w:hAnsi="Calibri"/>
        <w:color w:val="5D6D7E"/>
        <w:sz w:val="18"/>
      </w:rPr>
      <w:t>SonicMind |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300" w:lineRule="auto"/>
      <w:jc w:val="left"/>
    </w:pPr>
    <w:r>
      <w:rPr>
        <w:rFonts w:ascii="Calibri" w:hAnsi="Calibri"/>
        <w:b/>
        <w:color w:val="5D6D7E"/>
        <w:sz w:val="18"/>
      </w:rPr>
      <w:t>SonicMind Code Documentation | 2026-05-09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