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SUPERMARKET SALES</w:t>
        <w:br/>
        <w:t>SQL ANALYSIS REPORT</w:t>
      </w:r>
    </w:p>
    <w:p>
      <w:pPr>
        <w:jc w:val="center"/>
      </w:pPr>
      <w:r>
        <w:rPr>
          <w:i/>
        </w:rPr>
        <w:t>Ecommerce Data Analytics Project</w:t>
      </w:r>
    </w:p>
    <w:p>
      <w:pPr>
        <w:pStyle w:val="Heading1"/>
      </w:pPr>
      <w:r>
        <w:t>1. Project Overview</w:t>
      </w:r>
    </w:p>
    <w:p>
      <w:r>
        <w:t>This report documents SQL-based exploration of the Supermarket Sales dataset. The cleaned dataset was loaded from Python into SQL Server. SQL is being used to aggregate data, investigate sales patterns, and derive business insights. Python can later support visualizations, additional statistical analysis, and the planned RAG application without unnecessarily repeating SQL work.</w:t>
      </w:r>
    </w:p>
    <w:p>
      <w:pPr>
        <w:pStyle w:val="Heading1"/>
      </w:pPr>
      <w:r>
        <w:t>2. Dataset Summary</w:t>
      </w:r>
    </w:p>
    <w:tbl>
      <w:tblPr>
        <w:tblStyle w:val="LightShading-Accent1"/>
        <w:tblW w:type="auto" w:w="0"/>
        <w:tblLook w:firstColumn="1" w:firstRow="1" w:lastColumn="0" w:lastRow="0" w:noHBand="0" w:noVBand="1" w:val="04A0"/>
      </w:tblPr>
      <w:tblGrid>
        <w:gridCol w:w="4968"/>
        <w:gridCol w:w="4968"/>
      </w:tblGrid>
      <w:tr>
        <w:tc>
          <w:tcPr>
            <w:tcW w:type="dxa" w:w="4968"/>
          </w:tcPr>
          <w:p>
            <w:r>
              <w:t>Database</w:t>
            </w:r>
          </w:p>
        </w:tc>
        <w:tc>
          <w:tcPr>
            <w:tcW w:type="dxa" w:w="4968"/>
          </w:tcPr>
          <w:p>
            <w:r>
              <w:t>supermarketAI</w:t>
            </w:r>
          </w:p>
        </w:tc>
      </w:tr>
      <w:tr>
        <w:tc>
          <w:tcPr>
            <w:tcW w:type="dxa" w:w="4968"/>
          </w:tcPr>
          <w:p>
            <w:r>
              <w:t>Table</w:t>
            </w:r>
          </w:p>
        </w:tc>
        <w:tc>
          <w:tcPr>
            <w:tcW w:type="dxa" w:w="4968"/>
          </w:tcPr>
          <w:p>
            <w:r>
              <w:t>SupermarketSales</w:t>
            </w:r>
          </w:p>
        </w:tc>
      </w:tr>
      <w:tr>
        <w:tc>
          <w:tcPr>
            <w:tcW w:type="dxa" w:w="4968"/>
          </w:tcPr>
          <w:p>
            <w:r>
              <w:t>Records loaded</w:t>
            </w:r>
          </w:p>
        </w:tc>
        <w:tc>
          <w:tcPr>
            <w:tcW w:type="dxa" w:w="4968"/>
          </w:tcPr>
          <w:p>
            <w:r>
              <w:t>1,000</w:t>
            </w:r>
          </w:p>
        </w:tc>
      </w:tr>
      <w:tr>
        <w:tc>
          <w:tcPr>
            <w:tcW w:type="dxa" w:w="4968"/>
          </w:tcPr>
          <w:p>
            <w:r>
              <w:t>Connection/import</w:t>
            </w:r>
          </w:p>
        </w:tc>
        <w:tc>
          <w:tcPr>
            <w:tcW w:type="dxa" w:w="4968"/>
          </w:tcPr>
          <w:p>
            <w:r>
              <w:t>Successful; COUNT(*) verified 1,000 rows</w:t>
            </w:r>
          </w:p>
        </w:tc>
      </w:tr>
    </w:tbl>
    <w:p>
      <w:pPr>
        <w:pStyle w:val="Heading1"/>
      </w:pPr>
      <w:r>
        <w:t>3. SQL Analysis Completed</w:t>
      </w:r>
    </w:p>
    <w:p>
      <w:pPr>
        <w:pStyle w:val="ListBullet"/>
      </w:pPr>
      <w:r>
        <w:rPr>
          <w:b/>
        </w:rPr>
        <w:t xml:space="preserve">Overall metrics: </w:t>
      </w:r>
      <w:r>
        <w:t>Total revenue, profit, COGS, quantity, and discounts.</w:t>
      </w:r>
    </w:p>
    <w:p>
      <w:pPr>
        <w:pStyle w:val="ListBullet"/>
      </w:pPr>
      <w:r>
        <w:rPr>
          <w:b/>
        </w:rPr>
        <w:t xml:space="preserve">Product performance: </w:t>
      </w:r>
      <w:r>
        <w:t>Revenue, profit, and quantity by product.</w:t>
      </w:r>
    </w:p>
    <w:p>
      <w:pPr>
        <w:pStyle w:val="ListBullet"/>
      </w:pPr>
      <w:r>
        <w:rPr>
          <w:b/>
        </w:rPr>
        <w:t xml:space="preserve">Category performance: </w:t>
      </w:r>
      <w:r>
        <w:t>Revenue, profit, quantity, and profit margin by product category.</w:t>
      </w:r>
    </w:p>
    <w:p>
      <w:pPr>
        <w:pStyle w:val="ListBullet"/>
      </w:pPr>
      <w:r>
        <w:rPr>
          <w:b/>
        </w:rPr>
        <w:t xml:space="preserve">City performance: </w:t>
      </w:r>
      <w:r>
        <w:t>Cities ranked by revenue and profit.</w:t>
      </w:r>
    </w:p>
    <w:p>
      <w:pPr>
        <w:pStyle w:val="ListBullet"/>
      </w:pPr>
      <w:r>
        <w:rPr>
          <w:b/>
        </w:rPr>
        <w:t xml:space="preserve">Customer type: </w:t>
      </w:r>
      <w:r>
        <w:t>Transactions, revenue, and average revenue for Normal and Member customers.</w:t>
      </w:r>
    </w:p>
    <w:p>
      <w:pPr>
        <w:pStyle w:val="ListBullet"/>
      </w:pPr>
      <w:r>
        <w:rPr>
          <w:b/>
        </w:rPr>
        <w:t xml:space="preserve">Payment method: </w:t>
      </w:r>
      <w:r>
        <w:t>Transactions, revenue, profit, and average revenue by payment method.</w:t>
      </w:r>
    </w:p>
    <w:p>
      <w:pPr>
        <w:pStyle w:val="ListBullet"/>
      </w:pPr>
      <w:r>
        <w:rPr>
          <w:b/>
        </w:rPr>
        <w:t xml:space="preserve">Gender and country: </w:t>
      </w:r>
      <w:r>
        <w:t>Sales summaries by gender and country.</w:t>
      </w:r>
    </w:p>
    <w:p>
      <w:pPr>
        <w:pStyle w:val="ListBullet"/>
      </w:pPr>
      <w:r>
        <w:rPr>
          <w:b/>
        </w:rPr>
        <w:t xml:space="preserve">Monthly trends: </w:t>
      </w:r>
      <w:r>
        <w:t>Revenue, profit, and transaction counts by year and month.</w:t>
      </w:r>
    </w:p>
    <w:p>
      <w:pPr>
        <w:pStyle w:val="ListBullet"/>
      </w:pPr>
      <w:r>
        <w:rPr>
          <w:b/>
        </w:rPr>
        <w:t xml:space="preserve">Discount review: </w:t>
      </w:r>
      <w:r>
        <w:t>Null check, minimum, maximum, average, distinct values, and average discount percentage.</w:t>
      </w:r>
    </w:p>
    <w:p>
      <w:pPr>
        <w:pStyle w:val="ListBullet"/>
      </w:pPr>
      <w:r>
        <w:rPr>
          <w:b/>
        </w:rPr>
        <w:t xml:space="preserve">Revenue validation: </w:t>
      </w:r>
      <w:r>
        <w:t>Comparison of recorded revenue with calculated revenue.</w:t>
      </w:r>
    </w:p>
    <w:p>
      <w:pPr>
        <w:pStyle w:val="Heading1"/>
      </w:pPr>
      <w:r>
        <w:t>4. Key Results Captured So Far</w:t>
      </w:r>
    </w:p>
    <w:p>
      <w:pPr>
        <w:pStyle w:val="Heading2"/>
      </w:pPr>
      <w:r>
        <w:t>4.1 Overall metrics</w:t>
      </w:r>
    </w:p>
    <w:p>
      <w:r>
        <w:t>Total Revenue: 20,620,979.9 | Total Profit: 4,384,719.9 | Total COGS: 16,236,526 | Total Quantity: 5,206 | Total Discount: 584,704.28. Average revenue was 2,060.9799, average profit 438.4199, and average discount 584.74028.</w:t>
      </w:r>
    </w:p>
    <w:p>
      <w:pPr>
        <w:pStyle w:val="Heading2"/>
      </w:pPr>
      <w:r>
        <w:t>4.2 Product and category performance</w:t>
      </w:r>
    </w:p>
    <w:p>
      <w:r>
        <w:t>Laptop ranked first in the product revenue/profit output, with revenue of 8,115,250 and profit of 1,807,250. Electronics led category revenue (18,998,010.2) and profit (4,039,802.5). Household Items had the highest category profit margin shown, approximately 21.58%.</w:t>
      </w:r>
    </w:p>
    <w:p>
      <w:pPr>
        <w:pStyle w:val="Heading2"/>
      </w:pPr>
      <w:r>
        <w:t>4.3 City and customer type</w:t>
      </w:r>
    </w:p>
    <w:p>
      <w:r>
        <w:t>Fujairah ranked first in city revenue at 325,915.95. Normal customers generated 14,085,190.7 revenue across 705 transactions; Members generated 6,535,789.2 across 295 transactions. Members had the higher average revenue per transaction (about 2,182.97 vs. 2,007.09).</w:t>
      </w:r>
    </w:p>
    <w:p>
      <w:pPr>
        <w:pStyle w:val="Heading2"/>
      </w:pPr>
      <w:r>
        <w:t>4.4 Payment method and gender</w:t>
      </w:r>
    </w:p>
    <w:p>
      <w:r>
        <w:t>Cash led payment-method revenue at 840,655.15 across 385 transactions, followed by Credit Card (730,908.5; 318 transactions) and E-Wallet (490,533.25; 247 transactions). Male customers accounted for 562 transactions and 11,281,634.55 revenue; female customers accounted for 438 transactions and 9,339,345.35 revenue.</w:t>
      </w:r>
    </w:p>
    <w:p>
      <w:pPr>
        <w:pStyle w:val="Heading2"/>
      </w:pPr>
      <w:r>
        <w:t>4.5 Country and monthly results</w:t>
      </w:r>
    </w:p>
    <w:p>
      <w:r>
        <w:t>India had the highest transaction count (4,476) and revenue of 8,817,154.55 in the country summary. The monthly aggregation spans 2024 and 2025 and includes revenue, profit, and transaction counts.</w:t>
      </w:r>
    </w:p>
    <w:p>
      <w:pPr>
        <w:pStyle w:val="Heading2"/>
      </w:pPr>
      <w:r>
        <w:t>4.6 Discount and revenue validation</w:t>
      </w:r>
    </w:p>
    <w:p>
      <w:r>
        <w:t>All 1,000 records had non-null discounts. Minimum discount: 0.252; maximum: 1,075; average: 584.74028; distinct discount values: 722. Average discount percentage was approximately 5.9343%.</w:t>
      </w:r>
    </w:p>
    <w:p>
      <w:r>
        <w:t>Revenue validation reported 1,000 records, 20 matches, 980 mismatches, and a total revenue difference of 97,909.18. Investigate the calculation and business definition before treating calculated revenue as interchangeable with recorded Revenue.</w:t>
      </w:r>
    </w:p>
    <w:p>
      <w:pPr>
        <w:pStyle w:val="Heading1"/>
      </w:pPr>
      <w:r>
        <w:t>5. Preliminary Business Insights</w:t>
      </w:r>
    </w:p>
    <w:p>
      <w:pPr>
        <w:pStyle w:val="ListBullet"/>
      </w:pPr>
      <w:r>
        <w:t>Electronics dominates category revenue and profit in the results captured so far.</w:t>
      </w:r>
    </w:p>
    <w:p>
      <w:pPr>
        <w:pStyle w:val="ListBullet"/>
      </w:pPr>
      <w:r>
        <w:t>Laptop is a major contributor to product revenue and profit.</w:t>
      </w:r>
    </w:p>
    <w:p>
      <w:pPr>
        <w:pStyle w:val="ListBullet"/>
      </w:pPr>
      <w:r>
        <w:t>Members have higher average revenue per transaction, while Normal customers account for more transactions and total revenue.</w:t>
      </w:r>
    </w:p>
    <w:p>
      <w:pPr>
        <w:pStyle w:val="ListBullet"/>
      </w:pPr>
      <w:r>
        <w:t>Cash is the most-used payment method and contributes the highest payment-method revenue.</w:t>
      </w:r>
    </w:p>
    <w:p>
      <w:pPr>
        <w:pStyle w:val="ListBullet"/>
      </w:pPr>
      <w:r>
        <w:t>The revenue validation mismatch needs investigation before downstream reporting or modeling.</w:t>
      </w:r>
    </w:p>
    <w:p>
      <w:pPr>
        <w:pStyle w:val="Heading1"/>
      </w:pPr>
      <w:r>
        <w:t>6. Next Steps</w:t>
      </w:r>
    </w:p>
    <w:p>
      <w:pPr>
        <w:pStyle w:val="ListNumber"/>
      </w:pPr>
      <w:r>
        <w:t>Review the revenue validation formula and explain the 97,909.18 difference.</w:t>
      </w:r>
    </w:p>
    <w:p>
      <w:pPr>
        <w:pStyle w:val="ListNumber"/>
      </w:pPr>
      <w:r>
        <w:t>Confirm the discount column's units and meaning, particularly its maximum value.</w:t>
      </w:r>
    </w:p>
    <w:p>
      <w:pPr>
        <w:pStyle w:val="ListNumber"/>
      </w:pPr>
      <w:r>
        <w:t>Complete remaining SQL analysis and save final queries in sql/SQLQuery1.sql.</w:t>
      </w:r>
    </w:p>
    <w:p>
      <w:pPr>
        <w:pStyle w:val="ListNumber"/>
      </w:pPr>
      <w:r>
        <w:t>Choose key SQL findings for visualizations and business recommendations.</w:t>
      </w:r>
    </w:p>
    <w:p>
      <w:pPr>
        <w:pStyle w:val="ListNumber"/>
      </w:pPr>
      <w:r>
        <w:t>Use Python for visualizations, further analysis, and RAG development where appropriate.</w:t>
      </w:r>
    </w:p>
    <w:p>
      <w:pPr>
        <w:pStyle w:val="Heading1"/>
      </w:pPr>
      <w:r>
        <w:t>7. Project File Organization</w:t>
      </w:r>
    </w:p>
    <w:p>
      <w:r>
        <w:t>Save this report in reports/Supermarket_Sales_SQL_Analysis.docx. Keep SQL queries in sql/SQLQuery1.sql. The dataset and notebooks remain in the existing data/ and notebooks/ folders.</w:t>
      </w:r>
    </w:p>
    <w:p>
      <w:r>
        <w:rPr>
          <w:b/>
        </w:rPr>
        <w:t xml:space="preserve">Working draft: </w:t>
      </w:r>
      <w:r>
        <w:t>This report reflects the SQL outputs shared so far and should be updated as analysis and validation continue.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