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Financial Analysis Report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AAPL - Annual Statements</w:t>
      </w:r>
    </w:p>
    <w:p>
      <w:pPr>
        <w:spacing w:after="200"/>
      </w:pPr>
      <w:r>
        <w:rPr>
          <w:color w:val="666666"/>
          <w:sz w:val="20"/>
          <w:szCs w:val="20"/>
        </w:rPr>
        <w:t xml:space="preserve">Generated: November 28, 2025 at 06:06 PM</w:t>
      </w:r>
    </w:p>
    <w:p>
      <w:pPr>
        <w:spacing w:after="400"/>
      </w:pPr>
      <w:r>
        <w:rPr>
          <w:color w:val="666666"/>
          <w:sz w:val="20"/>
          <w:szCs w:val="20"/>
        </w:rPr>
        <w:t xml:space="preserve">Periods Analyzed: 5</w:t>
      </w:r>
    </w:p>
    <w:p>
      <w:pPr>
        <w:pStyle w:val="Heading1"/>
        <w:spacing w:before="400"/>
      </w:pPr>
      <w:r>
        <w:t xml:space="preserve">Income Statement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1F4E78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shd w:fill="1F4E78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2025-09-27</w:t>
            </w:r>
          </w:p>
        </w:tc>
        <w:tc>
          <w:tcPr>
            <w:shd w:fill="1F4E78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2024-09-28</w:t>
            </w:r>
          </w:p>
        </w:tc>
        <w:tc>
          <w:tcPr>
            <w:shd w:fill="1F4E78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2023-09-30</w:t>
            </w:r>
          </w:p>
        </w:tc>
        <w:tc>
          <w:tcPr>
            <w:shd w:fill="1F4E78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2022-09-24</w:t>
            </w:r>
          </w:p>
        </w:tc>
        <w:tc>
          <w:tcPr>
            <w:shd w:fill="1F4E78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2021-09-25</w:t>
            </w:r>
          </w:p>
        </w:tc>
      </w:tr>
      <w:tr>
        <w:tc>
          <w:p>
            <w:r>
              <w:t xml:space="preserve">Revenue</w:t>
            </w:r>
          </w:p>
        </w:tc>
        <w:tc>
          <w:p>
            <w:pPr>
              <w:jc w:val="right"/>
            </w:pPr>
            <w:r>
              <w:t xml:space="preserve">$416.16B</w:t>
            </w:r>
          </w:p>
        </w:tc>
        <w:tc>
          <w:p>
            <w:pPr>
              <w:jc w:val="right"/>
            </w:pPr>
            <w:r>
              <w:t xml:space="preserve">$391.04B</w:t>
            </w:r>
          </w:p>
        </w:tc>
        <w:tc>
          <w:p>
            <w:pPr>
              <w:jc w:val="right"/>
            </w:pPr>
            <w:r>
              <w:t xml:space="preserve">$383.29B</w:t>
            </w:r>
          </w:p>
        </w:tc>
        <w:tc>
          <w:p>
            <w:pPr>
              <w:jc w:val="right"/>
            </w:pPr>
            <w:r>
              <w:t xml:space="preserve">$394.33B</w:t>
            </w:r>
          </w:p>
        </w:tc>
        <w:tc>
          <w:p>
            <w:pPr>
              <w:jc w:val="right"/>
            </w:pPr>
            <w:r>
              <w:t xml:space="preserve">$365.82B</w:t>
            </w:r>
          </w:p>
        </w:tc>
      </w:tr>
      <w:tr>
        <w:tc>
          <w:p>
            <w:r>
              <w:t xml:space="preserve">Cost of Revenue</w:t>
            </w:r>
          </w:p>
        </w:tc>
        <w:tc>
          <w:p>
            <w:pPr>
              <w:jc w:val="right"/>
            </w:pPr>
            <w:r>
              <w:t xml:space="preserve">$220.96B</w:t>
            </w:r>
          </w:p>
        </w:tc>
        <w:tc>
          <w:p>
            <w:pPr>
              <w:jc w:val="right"/>
            </w:pPr>
            <w:r>
              <w:t xml:space="preserve">$210.35B</w:t>
            </w:r>
          </w:p>
        </w:tc>
        <w:tc>
          <w:p>
            <w:pPr>
              <w:jc w:val="right"/>
            </w:pPr>
            <w:r>
              <w:t xml:space="preserve">$214.14B</w:t>
            </w:r>
          </w:p>
        </w:tc>
        <w:tc>
          <w:p>
            <w:pPr>
              <w:jc w:val="right"/>
            </w:pPr>
            <w:r>
              <w:t xml:space="preserve">$223.55B</w:t>
            </w:r>
          </w:p>
        </w:tc>
        <w:tc>
          <w:p>
            <w:pPr>
              <w:jc w:val="right"/>
            </w:pPr>
            <w:r>
              <w:t xml:space="preserve">$212.98B</w:t>
            </w:r>
          </w:p>
        </w:tc>
      </w:tr>
      <w:tr>
        <w:tc>
          <w:p>
            <w:r>
              <w:t xml:space="preserve">Operating Income</w:t>
            </w:r>
          </w:p>
        </w:tc>
        <w:tc>
          <w:p>
            <w:pPr>
              <w:jc w:val="right"/>
            </w:pPr>
            <w:r>
              <w:t xml:space="preserve">$133.05B</w:t>
            </w:r>
          </w:p>
        </w:tc>
        <w:tc>
          <w:p>
            <w:pPr>
              <w:jc w:val="right"/>
            </w:pPr>
            <w:r>
              <w:t xml:space="preserve">$123.22B</w:t>
            </w:r>
          </w:p>
        </w:tc>
        <w:tc>
          <w:p>
            <w:pPr>
              <w:jc w:val="right"/>
            </w:pPr>
            <w:r>
              <w:t xml:space="preserve">$114.30B</w:t>
            </w:r>
          </w:p>
        </w:tc>
        <w:tc>
          <w:p>
            <w:pPr>
              <w:jc w:val="right"/>
            </w:pPr>
            <w:r>
              <w:t xml:space="preserve">$119.44B</w:t>
            </w:r>
          </w:p>
        </w:tc>
        <w:tc>
          <w:p>
            <w:pPr>
              <w:jc w:val="right"/>
            </w:pPr>
            <w:r>
              <w:t xml:space="preserve">$108.95B</w:t>
            </w:r>
          </w:p>
        </w:tc>
      </w:tr>
      <w:tr>
        <w:tc>
          <w:p>
            <w:r>
              <w:rPr>
                <w:b/>
                <w:bCs/>
              </w:rPr>
              <w:t xml:space="preserve">Net Income</w:t>
            </w:r>
          </w:p>
        </w:tc>
        <w:tc>
          <w:tcPr>
            <w:shd w:fill="F2F2F2"/>
          </w:tcPr>
          <w:p>
            <w:pPr>
              <w:jc w:val="right"/>
            </w:pPr>
            <w:r>
              <w:rPr>
                <w:b/>
                <w:bCs/>
              </w:rPr>
              <w:t xml:space="preserve">$112.01B</w:t>
            </w:r>
          </w:p>
        </w:tc>
        <w:tc>
          <w:tcPr>
            <w:shd w:fill="F2F2F2"/>
          </w:tcPr>
          <w:p>
            <w:pPr>
              <w:jc w:val="right"/>
            </w:pPr>
            <w:r>
              <w:rPr>
                <w:b/>
                <w:bCs/>
              </w:rPr>
              <w:t xml:space="preserve">$93.74B</w:t>
            </w:r>
          </w:p>
        </w:tc>
        <w:tc>
          <w:tcPr>
            <w:shd w:fill="F2F2F2"/>
          </w:tcPr>
          <w:p>
            <w:pPr>
              <w:jc w:val="right"/>
            </w:pPr>
            <w:r>
              <w:rPr>
                <w:b/>
                <w:bCs/>
              </w:rPr>
              <w:t xml:space="preserve">$97.00B</w:t>
            </w:r>
          </w:p>
        </w:tc>
        <w:tc>
          <w:tcPr>
            <w:shd w:fill="F2F2F2"/>
          </w:tcPr>
          <w:p>
            <w:pPr>
              <w:jc w:val="right"/>
            </w:pPr>
            <w:r>
              <w:rPr>
                <w:b/>
                <w:bCs/>
              </w:rPr>
              <w:t xml:space="preserve">$99.80B</w:t>
            </w:r>
          </w:p>
        </w:tc>
        <w:tc>
          <w:tcPr>
            <w:shd w:fill="F2F2F2"/>
          </w:tcPr>
          <w:p>
            <w:pPr>
              <w:jc w:val="right"/>
            </w:pPr>
            <w:r>
              <w:rPr>
                <w:b/>
                <w:bCs/>
              </w:rPr>
              <w:t xml:space="preserve">$94.68B</w:t>
            </w:r>
          </w:p>
        </w:tc>
      </w:tr>
    </w:tbl>
    <w:p>
      <w:pPr>
        <w:pStyle w:val="Heading1"/>
        <w:spacing w:before="400"/>
      </w:pPr>
      <w:r>
        <w:t xml:space="preserve">Cash Flow Statement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2E5C8A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shd w:fill="2E5C8A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2025-09-27</w:t>
            </w:r>
          </w:p>
        </w:tc>
        <w:tc>
          <w:tcPr>
            <w:shd w:fill="2E5C8A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2024-09-28</w:t>
            </w:r>
          </w:p>
        </w:tc>
        <w:tc>
          <w:tcPr>
            <w:shd w:fill="2E5C8A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2023-09-30</w:t>
            </w:r>
          </w:p>
        </w:tc>
        <w:tc>
          <w:tcPr>
            <w:shd w:fill="2E5C8A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2022-09-24</w:t>
            </w:r>
          </w:p>
        </w:tc>
        <w:tc>
          <w:tcPr>
            <w:shd w:fill="2E5C8A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2021-09-25</w:t>
            </w:r>
          </w:p>
        </w:tc>
      </w:tr>
      <w:tr>
        <w:tc>
          <w:p>
            <w:r>
              <w:t xml:space="preserve">Operating Cash Flow</w:t>
            </w:r>
          </w:p>
        </w:tc>
        <w:tc>
          <w:p>
            <w:pPr>
              <w:jc w:val="right"/>
            </w:pPr>
            <w:r>
              <w:t xml:space="preserve">$111.48B</w:t>
            </w:r>
          </w:p>
        </w:tc>
        <w:tc>
          <w:p>
            <w:pPr>
              <w:jc w:val="right"/>
            </w:pPr>
            <w:r>
              <w:t xml:space="preserve">$118.25B</w:t>
            </w:r>
          </w:p>
        </w:tc>
        <w:tc>
          <w:p>
            <w:pPr>
              <w:jc w:val="right"/>
            </w:pPr>
            <w:r>
              <w:t xml:space="preserve">$110.54B</w:t>
            </w:r>
          </w:p>
        </w:tc>
        <w:tc>
          <w:p>
            <w:pPr>
              <w:jc w:val="right"/>
            </w:pPr>
            <w:r>
              <w:t xml:space="preserve">$122.15B</w:t>
            </w:r>
          </w:p>
        </w:tc>
        <w:tc>
          <w:p>
            <w:pPr>
              <w:jc w:val="right"/>
            </w:pPr>
            <w:r>
              <w:t xml:space="preserve">$104.04B</w:t>
            </w:r>
          </w:p>
        </w:tc>
      </w:tr>
      <w:tr>
        <w:tc>
          <w:p>
            <w:r>
              <w:t xml:space="preserve">Capital Expenditure</w:t>
            </w:r>
          </w:p>
        </w:tc>
        <w:tc>
          <w:p>
            <w:pPr>
              <w:jc w:val="right"/>
            </w:pPr>
            <w:r>
              <w:t xml:space="preserve">$-12.71B</w:t>
            </w:r>
          </w:p>
        </w:tc>
        <w:tc>
          <w:p>
            <w:pPr>
              <w:jc w:val="right"/>
            </w:pPr>
            <w:r>
              <w:t xml:space="preserve">$-9.45B</w:t>
            </w:r>
          </w:p>
        </w:tc>
        <w:tc>
          <w:p>
            <w:pPr>
              <w:jc w:val="right"/>
            </w:pPr>
            <w:r>
              <w:t xml:space="preserve">$-10.96B</w:t>
            </w:r>
          </w:p>
        </w:tc>
        <w:tc>
          <w:p>
            <w:pPr>
              <w:jc w:val="right"/>
            </w:pPr>
            <w:r>
              <w:t xml:space="preserve">$-10.71B</w:t>
            </w:r>
          </w:p>
        </w:tc>
        <w:tc>
          <w:p>
            <w:pPr>
              <w:jc w:val="right"/>
            </w:pPr>
            <w:r>
              <w:t xml:space="preserve">$-11.09B</w:t>
            </w:r>
          </w:p>
        </w:tc>
      </w:tr>
    </w:tbl>
    <w:p>
      <w:pPr>
        <w:pStyle w:val="Heading1"/>
        <w:spacing w:before="400"/>
      </w:pPr>
      <w:r>
        <w:t xml:space="preserve">Balance Sheet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406080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shd w:fill="406080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2025-09-27</w:t>
            </w:r>
          </w:p>
        </w:tc>
        <w:tc>
          <w:tcPr>
            <w:shd w:fill="406080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2024-09-28</w:t>
            </w:r>
          </w:p>
        </w:tc>
        <w:tc>
          <w:tcPr>
            <w:shd w:fill="406080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2023-09-30</w:t>
            </w:r>
          </w:p>
        </w:tc>
        <w:tc>
          <w:tcPr>
            <w:shd w:fill="406080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2022-09-24</w:t>
            </w:r>
          </w:p>
        </w:tc>
        <w:tc>
          <w:tcPr>
            <w:shd w:fill="406080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2021-09-25</w:t>
            </w:r>
          </w:p>
        </w:tc>
      </w:tr>
      <w:tr>
        <w:tc>
          <w:p>
            <w:r>
              <w:t xml:space="preserve">Cash</w:t>
            </w:r>
          </w:p>
        </w:tc>
        <w:tc>
          <w:p>
            <w:pPr>
              <w:jc w:val="right"/>
            </w:pPr>
            <w:r>
              <w:t xml:space="preserve">$35.93B</w:t>
            </w:r>
          </w:p>
        </w:tc>
        <w:tc>
          <w:p>
            <w:pPr>
              <w:jc w:val="right"/>
            </w:pPr>
            <w:r>
              <w:t xml:space="preserve">$29.94B</w:t>
            </w:r>
          </w:p>
        </w:tc>
        <w:tc>
          <w:p>
            <w:pPr>
              <w:jc w:val="right"/>
            </w:pPr>
            <w:r>
              <w:t xml:space="preserve">$29.96B</w:t>
            </w:r>
          </w:p>
        </w:tc>
        <w:tc>
          <w:p>
            <w:pPr>
              <w:jc w:val="right"/>
            </w:pPr>
            <w:r>
              <w:t xml:space="preserve">$23.65B</w:t>
            </w:r>
          </w:p>
        </w:tc>
        <w:tc>
          <w:p>
            <w:pPr>
              <w:jc w:val="right"/>
            </w:pPr>
            <w:r>
              <w:t xml:space="preserve">$34.94B</w:t>
            </w:r>
          </w:p>
        </w:tc>
      </w:tr>
      <w:tr>
        <w:tc>
          <w:p>
            <w:r>
              <w:t xml:space="preserve">Total Debt</w:t>
            </w:r>
          </w:p>
        </w:tc>
        <w:tc>
          <w:p>
            <w:pPr>
              <w:jc w:val="right"/>
            </w:pPr>
            <w:r>
              <w:t xml:space="preserve">$98.66B</w:t>
            </w:r>
          </w:p>
        </w:tc>
        <w:tc>
          <w:p>
            <w:pPr>
              <w:jc w:val="right"/>
            </w:pPr>
            <w:r>
              <w:t xml:space="preserve">$119.06B</w:t>
            </w:r>
          </w:p>
        </w:tc>
        <w:tc>
          <w:p>
            <w:pPr>
              <w:jc w:val="right"/>
            </w:pPr>
            <w:r>
              <w:t xml:space="preserve">$123.93B</w:t>
            </w:r>
          </w:p>
        </w:tc>
        <w:tc>
          <w:p>
            <w:pPr>
              <w:jc w:val="right"/>
            </w:pPr>
            <w:r>
              <w:t xml:space="preserve">$132.48B</w:t>
            </w:r>
          </w:p>
        </w:tc>
        <w:tc>
          <w:p>
            <w:pPr>
              <w:jc w:val="right"/>
            </w:pPr>
            <w:r>
              <w:t xml:space="preserve">$136.52B</w:t>
            </w:r>
          </w:p>
        </w:tc>
      </w:tr>
      <w:tr>
        <w:tc>
          <w:p>
            <w:r>
              <w:t xml:space="preserve">Accounts Receivable</w:t>
            </w:r>
          </w:p>
        </w:tc>
        <w:tc>
          <w:p>
            <w:pPr>
              <w:jc w:val="right"/>
            </w:pPr>
            <w:r>
              <w:t xml:space="preserve">$72.96B</w:t>
            </w:r>
          </w:p>
        </w:tc>
        <w:tc>
          <w:p>
            <w:pPr>
              <w:jc w:val="right"/>
            </w:pPr>
            <w:r>
              <w:t xml:space="preserve">$66.24B</w:t>
            </w:r>
          </w:p>
        </w:tc>
        <w:tc>
          <w:p>
            <w:pPr>
              <w:jc w:val="right"/>
            </w:pPr>
            <w:r>
              <w:t xml:space="preserve">$60.98B</w:t>
            </w:r>
          </w:p>
        </w:tc>
        <w:tc>
          <w:p>
            <w:pPr>
              <w:jc w:val="right"/>
            </w:pPr>
            <w:r>
              <w:t xml:space="preserve">$60.93B</w:t>
            </w:r>
          </w:p>
        </w:tc>
        <w:tc>
          <w:p>
            <w:pPr>
              <w:jc w:val="right"/>
            </w:pPr>
            <w:r>
              <w:t xml:space="preserve">$51.51B</w:t>
            </w:r>
          </w:p>
        </w:tc>
      </w:tr>
      <w:tr>
        <w:tc>
          <w:p>
            <w:r>
              <w:t xml:space="preserve">Inventory</w:t>
            </w:r>
          </w:p>
        </w:tc>
        <w:tc>
          <w:p>
            <w:pPr>
              <w:jc w:val="right"/>
            </w:pPr>
            <w:r>
              <w:t xml:space="preserve">$5.72B</w:t>
            </w:r>
          </w:p>
        </w:tc>
        <w:tc>
          <w:p>
            <w:pPr>
              <w:jc w:val="right"/>
            </w:pPr>
            <w:r>
              <w:t xml:space="preserve">$7.29B</w:t>
            </w:r>
          </w:p>
        </w:tc>
        <w:tc>
          <w:p>
            <w:pPr>
              <w:jc w:val="right"/>
            </w:pPr>
            <w:r>
              <w:t xml:space="preserve">$6.33B</w:t>
            </w:r>
          </w:p>
        </w:tc>
        <w:tc>
          <w:p>
            <w:pPr>
              <w:jc w:val="right"/>
            </w:pPr>
            <w:r>
              <w:t xml:space="preserve">$4.95B</w:t>
            </w:r>
          </w:p>
        </w:tc>
        <w:tc>
          <w:p>
            <w:pPr>
              <w:jc w:val="right"/>
            </w:pPr>
            <w:r>
              <w:t xml:space="preserve">$6.58B</w:t>
            </w:r>
          </w:p>
        </w:tc>
      </w:tr>
      <w:tr>
        <w:tc>
          <w:p>
            <w:r>
              <w:t xml:space="preserve">Goodwill</w:t>
            </w:r>
          </w:p>
        </w:tc>
        <w:tc>
          <w:p>
            <w:pPr>
              <w:jc w:val="right"/>
            </w:pPr>
            <w:r>
              <w:t xml:space="preserve">$0</w:t>
            </w:r>
          </w:p>
        </w:tc>
        <w:tc>
          <w:p>
            <w:pPr>
              <w:jc w:val="right"/>
            </w:pPr>
            <w:r>
              <w:t xml:space="preserve">$0</w:t>
            </w:r>
          </w:p>
        </w:tc>
        <w:tc>
          <w:p>
            <w:pPr>
              <w:jc w:val="right"/>
            </w:pPr>
            <w:r>
              <w:t xml:space="preserve">$0</w:t>
            </w:r>
          </w:p>
        </w:tc>
        <w:tc>
          <w:p>
            <w:pPr>
              <w:jc w:val="right"/>
            </w:pPr>
            <w:r>
              <w:t xml:space="preserve">$0</w:t>
            </w:r>
          </w:p>
        </w:tc>
        <w:tc>
          <w:p>
            <w:pPr>
              <w:jc w:val="right"/>
            </w:pPr>
            <w:r>
              <w:t xml:space="preserve">$0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F4E78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2025-11-28T23:06:58.911Z</dcterms:created>
  <dcterms:modified xsi:type="dcterms:W3CDTF">2025-11-28T23:06:58.911Z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