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Fluxo Wealth Management &amp; Monte Carlo Specification</w:t>
      </w:r>
    </w:p>
    <w:p>
      <w:r>
        <w:t>Executive Strategic Financial Plan prepared for Alex Smith.</w:t>
      </w:r>
    </w:p>
    <w:p>
      <w:r>
        <w:t>Initial Balance: €42,180</w:t>
        <w:br/>
      </w:r>
      <w:r>
        <w:t>Monthly Contribution: €850 / month</w:t>
        <w:br/>
      </w:r>
      <w:r>
        <w:t>Expected Return: 8.6% per annum</w:t>
        <w:br/>
      </w:r>
      <w:r>
        <w:t>Annual Volatility: 14.5%</w:t>
        <w:br/>
      </w:r>
      <w:r>
        <w:t>Time Horizon: 10 Years</w:t>
        <w:br/>
      </w:r>
      <w:r>
        <w:t>Target Goal: €150,000 for Financial Independence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