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2C3E50"/>
          <w:spacing w:val="0"/>
          <w:shd w:val="clear" w:fill="FFFFFF"/>
        </w:rPr>
        <w:t>深入响应式原理</w:t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eastAsia="zh-CN"/>
        </w:rPr>
        <w:t>——</w:t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vue.js原理之一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let dbl = {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_name:"小威威",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get name(){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return this._name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},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set name(val){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console.log('new name is '+val)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this._name = val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console.log(dbl.name)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dbl.name="Darbuly"</w:t>
      </w: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  <w:t>console.log(dbl.name)</w:t>
      </w:r>
      <w:bookmarkStart w:id="0" w:name="_GoBack"/>
      <w:bookmarkEnd w:id="0"/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2C3E50"/>
          <w:spacing w:val="0"/>
          <w:shd w:val="clear" w:fill="FFFFFF"/>
          <w:lang w:val="en-US" w:eastAsia="zh-CN"/>
        </w:rPr>
      </w:pPr>
      <w:r>
        <w:drawing>
          <wp:inline distT="0" distB="0" distL="114300" distR="114300">
            <wp:extent cx="170497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7630A"/>
    <w:rsid w:val="5FD2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