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DFDFD"/>
        <w:spacing w:before="0" w:beforeAutospacing="0"/>
        <w:ind w:left="0" w:firstLine="0"/>
        <w:jc w:val="left"/>
        <w:rPr>
          <w:rFonts w:ascii="Lucida Sans Unicode" w:hAnsi="Lucida Sans Unicode" w:eastAsia="Lucida Sans Unicode" w:cs="Lucida Sans Unicode"/>
          <w:i w:val="0"/>
          <w:caps w:val="0"/>
          <w:color w:val="33333D"/>
          <w:spacing w:val="0"/>
          <w:sz w:val="42"/>
          <w:szCs w:val="42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D"/>
          <w:spacing w:val="0"/>
          <w:sz w:val="42"/>
          <w:szCs w:val="42"/>
          <w:shd w:val="clear" w:fill="FDFDFD"/>
        </w:rPr>
        <w:t>上下文(Context)</w:t>
      </w:r>
    </w:p>
    <w:p>
      <w:pPr>
        <w:pStyle w:val="3"/>
        <w:keepNext w:val="0"/>
        <w:keepLines w:val="0"/>
        <w:widowControl/>
        <w:suppressLineNumbers w:val="0"/>
        <w:shd w:val="clear" w:fill="FDFDFD"/>
        <w:ind w:lef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D"/>
          <w:spacing w:val="0"/>
          <w:sz w:val="25"/>
          <w:szCs w:val="25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D"/>
          <w:spacing w:val="0"/>
          <w:sz w:val="25"/>
          <w:szCs w:val="25"/>
          <w:shd w:val="clear" w:fill="FDFDFD"/>
        </w:rPr>
        <w:t>Koa Context 将 node 的 </w:t>
      </w:r>
      <w:r>
        <w:rPr>
          <w:rStyle w:val="6"/>
          <w:rFonts w:ascii="monospace" w:hAnsi="monospace" w:eastAsia="monospace" w:cs="monospace"/>
          <w:i w:val="0"/>
          <w:caps w:val="0"/>
          <w:color w:val="33333D"/>
          <w:spacing w:val="0"/>
          <w:sz w:val="18"/>
          <w:szCs w:val="18"/>
          <w:shd w:val="clear" w:fill="FDFDFD"/>
        </w:rPr>
        <w:t>request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D"/>
          <w:spacing w:val="0"/>
          <w:sz w:val="25"/>
          <w:szCs w:val="25"/>
          <w:shd w:val="clear" w:fill="FDFDFD"/>
        </w:rPr>
        <w:t> 和 </w:t>
      </w:r>
      <w:r>
        <w:rPr>
          <w:rStyle w:val="6"/>
          <w:rFonts w:hint="default" w:ascii="monospace" w:hAnsi="monospace" w:eastAsia="monospace" w:cs="monospace"/>
          <w:i w:val="0"/>
          <w:caps w:val="0"/>
          <w:color w:val="33333D"/>
          <w:spacing w:val="0"/>
          <w:sz w:val="18"/>
          <w:szCs w:val="18"/>
          <w:shd w:val="clear" w:fill="FDFDFD"/>
        </w:rPr>
        <w:t>response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D"/>
          <w:spacing w:val="0"/>
          <w:sz w:val="25"/>
          <w:szCs w:val="25"/>
          <w:shd w:val="clear" w:fill="FDFDFD"/>
        </w:rPr>
        <w:t> 对象封装到单个对象中，为编写 Web 应用程序和 API 提供了许多有用的方法。 这些操作在 HTTP 服务器开发中频繁使用，它们被添加到此级别而不是更高级别的框架，这将强制中间件重新实现此通用功能。</w:t>
      </w:r>
    </w:p>
    <w:p>
      <w:pPr>
        <w:pStyle w:val="3"/>
        <w:keepNext w:val="0"/>
        <w:keepLines w:val="0"/>
        <w:widowControl/>
        <w:suppressLineNumbers w:val="0"/>
        <w:shd w:val="clear" w:fill="FDFDFD"/>
        <w:ind w:lef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D"/>
          <w:spacing w:val="0"/>
          <w:sz w:val="25"/>
          <w:szCs w:val="25"/>
        </w:rPr>
      </w:pPr>
      <w:r>
        <w:rPr>
          <w:rStyle w:val="5"/>
          <w:rFonts w:hint="default" w:ascii="Lucida Sans Unicode" w:hAnsi="Lucida Sans Unicode" w:eastAsia="Lucida Sans Unicode" w:cs="Lucida Sans Unicode"/>
          <w:i w:val="0"/>
          <w:caps w:val="0"/>
          <w:color w:val="33333D"/>
          <w:spacing w:val="0"/>
          <w:sz w:val="25"/>
          <w:szCs w:val="25"/>
          <w:shd w:val="clear" w:fill="FDFDFD"/>
        </w:rPr>
        <w:t>每个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D"/>
          <w:spacing w:val="0"/>
          <w:sz w:val="25"/>
          <w:szCs w:val="25"/>
          <w:shd w:val="clear" w:fill="FDFDFD"/>
        </w:rPr>
        <w:t> 请求都将创建一个 </w:t>
      </w:r>
      <w:r>
        <w:rPr>
          <w:rStyle w:val="6"/>
          <w:rFonts w:hint="default" w:ascii="monospace" w:hAnsi="monospace" w:eastAsia="monospace" w:cs="monospace"/>
          <w:i w:val="0"/>
          <w:caps w:val="0"/>
          <w:color w:val="33333D"/>
          <w:spacing w:val="0"/>
          <w:sz w:val="18"/>
          <w:szCs w:val="18"/>
          <w:shd w:val="clear" w:fill="FDFDFD"/>
        </w:rPr>
        <w:t>Context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D"/>
          <w:spacing w:val="0"/>
          <w:sz w:val="25"/>
          <w:szCs w:val="25"/>
          <w:shd w:val="clear" w:fill="FDFDFD"/>
        </w:rPr>
        <w:t>，并在中间件中作为接收器引用，或者 </w:t>
      </w:r>
      <w:r>
        <w:rPr>
          <w:rStyle w:val="6"/>
          <w:rFonts w:hint="default" w:ascii="monospace" w:hAnsi="monospace" w:eastAsia="monospace" w:cs="monospace"/>
          <w:i w:val="0"/>
          <w:caps w:val="0"/>
          <w:color w:val="33333D"/>
          <w:spacing w:val="0"/>
          <w:sz w:val="18"/>
          <w:szCs w:val="18"/>
          <w:shd w:val="clear" w:fill="FDFDFD"/>
        </w:rPr>
        <w:t>ctx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D"/>
          <w:spacing w:val="0"/>
          <w:sz w:val="25"/>
          <w:szCs w:val="25"/>
          <w:shd w:val="clear" w:fill="FDFDFD"/>
        </w:rPr>
        <w:t> 标识符，如以下代码片段所示：</w:t>
      </w:r>
    </w:p>
    <w:p/>
    <w:p/>
    <w:p/>
    <w:p>
      <w:pP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app.use(</w:t>
      </w:r>
      <w:r>
        <w:rPr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async</w:t>
      </w: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ctx =&gt; { </w:t>
      </w:r>
    </w:p>
    <w:p>
      <w:pP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ctx; </w:t>
      </w:r>
      <w:r>
        <w:rPr>
          <w:rFonts w:hint="default" w:ascii="monospace" w:hAnsi="monospace" w:eastAsia="monospace" w:cs="monospace"/>
          <w:b w:val="0"/>
          <w:i/>
          <w:caps w:val="0"/>
          <w:color w:val="999988"/>
          <w:spacing w:val="0"/>
          <w:sz w:val="20"/>
          <w:szCs w:val="20"/>
          <w:shd w:val="clear" w:fill="FFFFFF"/>
        </w:rPr>
        <w:t>// 这是 Context</w:t>
      </w: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</w:t>
      </w:r>
    </w:p>
    <w:p>
      <w:pP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ctx.request; </w:t>
      </w:r>
      <w:r>
        <w:rPr>
          <w:rFonts w:hint="default" w:ascii="monospace" w:hAnsi="monospace" w:eastAsia="monospace" w:cs="monospace"/>
          <w:b w:val="0"/>
          <w:i/>
          <w:caps w:val="0"/>
          <w:color w:val="999988"/>
          <w:spacing w:val="0"/>
          <w:sz w:val="20"/>
          <w:szCs w:val="20"/>
          <w:shd w:val="clear" w:fill="FFFFFF"/>
        </w:rPr>
        <w:t>// 这是 koa Request</w:t>
      </w: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</w:t>
      </w:r>
    </w:p>
    <w:p>
      <w:pP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ctx.response; </w:t>
      </w:r>
      <w:r>
        <w:rPr>
          <w:rFonts w:hint="default" w:ascii="monospace" w:hAnsi="monospace" w:eastAsia="monospace" w:cs="monospace"/>
          <w:b w:val="0"/>
          <w:i/>
          <w:caps w:val="0"/>
          <w:color w:val="999988"/>
          <w:spacing w:val="0"/>
          <w:sz w:val="20"/>
          <w:szCs w:val="20"/>
          <w:shd w:val="clear" w:fill="FFFFFF"/>
        </w:rPr>
        <w:t>// 这是 koa Response</w:t>
      </w: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</w:t>
      </w:r>
    </w:p>
    <w:p>
      <w:pP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});</w:t>
      </w:r>
    </w:p>
    <w:p>
      <w:pP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  <w:t>ctx.request</w:t>
            </w:r>
          </w:p>
        </w:tc>
        <w:tc>
          <w:tcPr>
            <w:tcW w:w="4261" w:type="dxa"/>
          </w:tcPr>
          <w:p>
            <w:pP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  <w:t>代表 HTTP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  <w:t>ctx.response</w:t>
            </w:r>
          </w:p>
        </w:tc>
        <w:tc>
          <w:tcPr>
            <w:tcW w:w="4261" w:type="dxa"/>
          </w:tcPr>
          <w:p>
            <w:pP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  <w:t>代表 HTTP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  <w:t>Context.response.body</w:t>
            </w:r>
          </w:p>
        </w:tc>
        <w:tc>
          <w:tcPr>
            <w:tcW w:w="4261" w:type="dxa"/>
          </w:tcPr>
          <w:p>
            <w:pP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  <w:t>属性就是发送给用户的内容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  <w:t>ctx.request.accepts</w:t>
            </w:r>
          </w:p>
        </w:tc>
        <w:tc>
          <w:tcPr>
            <w:tcW w:w="4261" w:type="dxa"/>
          </w:tcPr>
          <w:p>
            <w:pP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  <w:t>HTTP Request 的Accept字段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  <w:t>ctx.response.type</w:t>
            </w:r>
          </w:p>
        </w:tc>
        <w:tc>
          <w:tcPr>
            <w:tcW w:w="4261" w:type="dxa"/>
          </w:tcPr>
          <w:p>
            <w:pP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  <w:t>指定返回类型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  <w:t>ctx.request.path</w:t>
            </w:r>
          </w:p>
        </w:tc>
        <w:tc>
          <w:tcPr>
            <w:tcW w:w="4261" w:type="dxa"/>
          </w:tcPr>
          <w:p>
            <w:pPr>
              <w:rPr>
                <w:rFonts w:hint="eastAsia" w:ascii="monospace" w:hAnsi="monospace" w:eastAsia="宋体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onospace" w:hAnsi="monospace" w:eastAsia="宋体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网站一般都有多个页面。通过ctx.request.path原生路由可以获取用户请求的路径，由此实现简单的路由。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monospace" w:hAnsi="monospace" w:eastAsia="宋体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  <w:t>ctx.request</w:t>
            </w:r>
            <w:r>
              <w:rPr>
                <w:rFonts w:hint="eastAsia" w:ascii="monospace" w:hAnsi="monospace" w:eastAsia="宋体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.body</w:t>
            </w:r>
          </w:p>
        </w:tc>
        <w:tc>
          <w:tcPr>
            <w:tcW w:w="4261" w:type="dxa"/>
          </w:tcPr>
          <w:p>
            <w:pPr>
              <w:rPr>
                <w:rFonts w:hint="eastAsia" w:ascii="monospace" w:hAnsi="monospace" w:eastAsia="宋体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onospace" w:hAnsi="monospace" w:eastAsia="宋体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本质上，表单就是 POST 方法发送到服务器的键值对。koa-body模块可以用来从 POST 请求的数据体里面提取键值对。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  <w:t>ctx.state.data</w:t>
            </w:r>
          </w:p>
        </w:tc>
        <w:tc>
          <w:tcPr>
            <w:tcW w:w="4261" w:type="dxa"/>
          </w:tcPr>
          <w:p>
            <w:pPr>
              <w:rPr>
                <w:rFonts w:hint="eastAsia" w:ascii="monospace" w:hAnsi="monospace" w:eastAsia="宋体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  <w:t>ctx.request.query</w:t>
            </w:r>
          </w:p>
        </w:tc>
        <w:tc>
          <w:tcPr>
            <w:tcW w:w="4261" w:type="dxa"/>
          </w:tcPr>
          <w:p>
            <w:pPr>
              <w:rPr>
                <w:rFonts w:hint="eastAsia" w:ascii="monospace" w:hAnsi="monospace" w:eastAsia="宋体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monospace" w:hAnsi="monospace" w:eastAsia="宋体" w:cs="monospace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获GET</w:t>
            </w:r>
            <w:bookmarkStart w:id="0" w:name="_GoBack"/>
            <w:bookmarkEnd w:id="0"/>
          </w:p>
        </w:tc>
      </w:tr>
    </w:tbl>
    <w:p>
      <w:pP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D63B8"/>
    <w:rsid w:val="5C4B5F80"/>
    <w:rsid w:val="60955D2F"/>
    <w:rsid w:val="61A50B6B"/>
    <w:rsid w:val="691A24AF"/>
    <w:rsid w:val="7995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2018-07-29T12:19:43Z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