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59735"/>
            <wp:effectExtent l="0" t="0" r="825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何为</w:t>
      </w:r>
      <w:r>
        <w:rPr>
          <w:rFonts w:hint="eastAsia"/>
          <w:lang w:val="en-US" w:eastAsia="zh-CN"/>
        </w:rPr>
        <w:t xml:space="preserve">  构造方法？</w:t>
      </w:r>
    </w:p>
    <w:p>
      <w:bookmarkStart w:id="0" w:name="_GoBack"/>
      <w:r>
        <w:drawing>
          <wp:inline distT="0" distB="0" distL="114300" distR="114300">
            <wp:extent cx="3971290" cy="18192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不需要我们去调用的方法，我们只需把它实例化就行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构造方法的作用     为类中的属性初始化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8595" cy="295973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068E"/>
    <w:multiLevelType w:val="singleLevel"/>
    <w:tmpl w:val="597A068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A35D9"/>
    <w:rsid w:val="090A35D9"/>
    <w:rsid w:val="161E0E46"/>
    <w:rsid w:val="29E44304"/>
    <w:rsid w:val="634F0303"/>
    <w:rsid w:val="75DE7BD8"/>
    <w:rsid w:val="7A83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2017-07-27T14:51:00Z</dcterms:created>
  <dc:creator>Administrator</dc:creator>
  <cp:lastModifiedBy>Administrator</cp:lastModifiedBy>
  <dcterms:modified xsi:type="dcterms:W3CDTF">2017-07-27T14:59:11Z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