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r>
        <w:rPr>
          <w:rFonts w:hint="eastAsia"/>
        </w:rPr>
        <w:t>6.1 供应链管理概述</w:t>
      </w:r>
    </w:p>
    <w:p>
      <w:pPr>
        <w:rPr>
          <w:rFonts w:hint="eastAsia"/>
        </w:rPr>
      </w:pPr>
      <w:r>
        <w:rPr>
          <w:rFonts w:hint="eastAsia"/>
        </w:rPr>
        <w:t>6.2 供应链管理相关概念</w:t>
      </w:r>
    </w:p>
    <w:p>
      <w:pPr>
        <w:rPr>
          <w:rFonts w:hint="eastAsia"/>
        </w:rPr>
      </w:pPr>
      <w:r>
        <w:rPr>
          <w:rFonts w:hint="eastAsia"/>
        </w:rPr>
        <w:t>6.3 价值链</w:t>
      </w:r>
    </w:p>
    <w:p>
      <w:pPr>
        <w:rPr>
          <w:rFonts w:hint="eastAsia"/>
        </w:rPr>
      </w:pPr>
      <w:r>
        <w:rPr>
          <w:rFonts w:hint="eastAsia"/>
        </w:rPr>
        <w:t>6.4 重构供应链的可选方式</w:t>
      </w:r>
    </w:p>
    <w:p>
      <w:pPr>
        <w:rPr>
          <w:rFonts w:hint="eastAsia"/>
        </w:rPr>
      </w:pPr>
      <w:r>
        <w:rPr>
          <w:rFonts w:hint="eastAsia"/>
        </w:rPr>
        <w:t>6.5 应用电子商务重构供应链</w:t>
      </w:r>
    </w:p>
    <w:p>
      <w:pPr>
        <w:rPr>
          <w:rFonts w:hint="eastAsia"/>
        </w:rPr>
      </w:pPr>
      <w:r>
        <w:rPr>
          <w:rFonts w:hint="eastAsia"/>
        </w:rPr>
        <w:t>6.6 电子供应链管理的目标设定和绩效管理</w:t>
      </w:r>
    </w:p>
    <w:p/>
    <w:p/>
    <w:p/>
    <w:p/>
    <w:p>
      <w:r>
        <w:rPr>
          <w:rFonts w:hint="eastAsia"/>
          <w:lang w:eastAsia="zh-CN"/>
        </w:rPr>
        <w:t>【</w:t>
      </w:r>
      <w:r>
        <w:rPr>
          <w:rFonts w:hint="eastAsia"/>
        </w:rPr>
        <w:t>供应链管理</w:t>
      </w:r>
      <w:r>
        <w:rPr>
          <w:rFonts w:hint="eastAsia"/>
          <w:lang w:eastAsia="zh-CN"/>
        </w:rPr>
        <w:t>】</w:t>
      </w:r>
      <w:r>
        <w:t>组织对从供应商、合作伙伴到客户的所有供应活动的协调。</w:t>
      </w:r>
    </w:p>
    <w:p>
      <w:r>
        <w:rPr>
          <w:rFonts w:hint="eastAsia"/>
          <w:lang w:eastAsia="zh-CN"/>
        </w:rPr>
        <w:t>【</w:t>
      </w:r>
      <w:r>
        <w:rPr>
          <w:rFonts w:hint="eastAsia"/>
        </w:rPr>
        <w:t>供应链网络</w:t>
      </w:r>
      <w:r>
        <w:rPr>
          <w:rFonts w:hint="eastAsia"/>
          <w:lang w:eastAsia="zh-CN"/>
        </w:rPr>
        <w:t>】</w:t>
      </w:r>
      <w:r>
        <w:t>组织与参与多个供应链的所有合作伙伴之间的联系。</w:t>
      </w:r>
    </w:p>
    <w:p>
      <w:pPr>
        <w:rPr>
          <w:rFonts w:hint="eastAsia" w:eastAsiaTheme="minorEastAsia"/>
          <w:lang w:val="en-US" w:eastAsia="zh-CN"/>
        </w:rPr>
      </w:pPr>
      <w:r>
        <w:rPr>
          <w:rFonts w:hint="eastAsia"/>
          <w:lang w:val="en-US" w:eastAsia="zh-CN"/>
        </w:rPr>
        <w:t>【供应链模型】</w:t>
      </w:r>
    </w:p>
    <w:p>
      <w:r>
        <w:rPr>
          <w:rFonts w:hint="eastAsia"/>
        </w:rPr>
        <w:t>供应链思维以及营销传播思维的变化由推动模式向拉动模式或推拉式结合方式的转变。</w:t>
      </w:r>
    </w:p>
    <w:p>
      <w:r>
        <w:rPr>
          <w:rFonts w:hint="eastAsia"/>
          <w:lang w:val="en-US" w:eastAsia="zh-CN"/>
        </w:rPr>
        <w:t>1.</w:t>
      </w:r>
      <w:r>
        <w:rPr>
          <w:rFonts w:hint="eastAsia"/>
        </w:rPr>
        <w:t>推动型供应链</w:t>
      </w:r>
      <w:r>
        <w:rPr>
          <w:rFonts w:hint="eastAsia"/>
          <w:lang w:eastAsia="zh-CN"/>
        </w:rPr>
        <w:t>：</w:t>
      </w:r>
      <w:r>
        <w:t>强调客户被动接受企业分销的产品和服务的供应链</w:t>
      </w:r>
    </w:p>
    <w:p>
      <w:r>
        <w:rPr>
          <w:rFonts w:hint="eastAsia"/>
          <w:lang w:val="en-US" w:eastAsia="zh-CN"/>
        </w:rPr>
        <w:t>2.</w:t>
      </w:r>
      <w:r>
        <w:rPr>
          <w:rFonts w:hint="eastAsia"/>
        </w:rPr>
        <w:t>拉动型供应链</w:t>
      </w:r>
      <w:r>
        <w:rPr>
          <w:rFonts w:hint="eastAsia"/>
          <w:lang w:eastAsia="zh-CN"/>
        </w:rPr>
        <w:t>：</w:t>
      </w:r>
      <w:r>
        <w:t>强调利用供应链为积极参与产品和服务设计的客户提供价值。</w:t>
      </w:r>
    </w:p>
    <w:p/>
    <w:p/>
    <w:p>
      <w:r>
        <w:rPr>
          <w:rFonts w:hint="eastAsia"/>
          <w:lang w:eastAsia="zh-CN"/>
        </w:rPr>
        <w:t>【</w:t>
      </w:r>
      <w:r>
        <w:rPr>
          <w:rFonts w:hint="eastAsia"/>
        </w:rPr>
        <w:t>价值链</w:t>
      </w:r>
      <w:r>
        <w:rPr>
          <w:rFonts w:hint="eastAsia"/>
          <w:lang w:eastAsia="zh-CN"/>
        </w:rPr>
        <w:t>】</w:t>
      </w:r>
      <w:r>
        <w:t>一个关于如何通过供应链活动为交付给客户的产品和服务创造价值的模型。</w:t>
      </w:r>
    </w:p>
    <w:p>
      <w:pPr>
        <w:rPr>
          <w:rFonts w:hint="eastAsia"/>
          <w:lang w:val="en-US" w:eastAsia="zh-CN"/>
        </w:rPr>
      </w:pPr>
      <w:r>
        <w:rPr>
          <w:rFonts w:hint="eastAsia"/>
        </w:rPr>
        <w:t>描述连接公司供应方和需求方的不同增值活动的模型</w:t>
      </w:r>
      <w:r>
        <w:rPr>
          <w:rFonts w:hint="eastAsia"/>
          <w:lang w:val="en-US" w:eastAsia="zh-CN"/>
        </w:rPr>
        <w:t>.</w:t>
      </w:r>
    </w:p>
    <w:p>
      <w:pPr>
        <w:rPr>
          <w:rFonts w:hint="eastAsia"/>
          <w:lang w:val="en-US" w:eastAsia="zh-CN"/>
        </w:rPr>
      </w:pPr>
      <w:r>
        <w:rPr>
          <w:rFonts w:hint="eastAsia"/>
          <w:lang w:val="en-US" w:eastAsia="zh-CN"/>
        </w:rPr>
        <w:t>1.价值链模型</w:t>
      </w:r>
    </w:p>
    <w:p>
      <w:pPr>
        <w:jc w:val="center"/>
      </w:pPr>
      <w:r>
        <w:drawing>
          <wp:inline distT="0" distB="0" distL="114300" distR="114300">
            <wp:extent cx="3583305" cy="2891155"/>
            <wp:effectExtent l="0" t="0" r="1714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3583305" cy="2891155"/>
                    </a:xfrm>
                    <a:prstGeom prst="rect">
                      <a:avLst/>
                    </a:prstGeom>
                  </pic:spPr>
                </pic:pic>
              </a:graphicData>
            </a:graphic>
          </wp:inline>
        </w:drawing>
      </w:r>
    </w:p>
    <w:p>
      <w:pPr>
        <w:jc w:val="left"/>
        <w:rPr>
          <w:rFonts w:hint="eastAsia"/>
          <w:lang w:val="en-US" w:eastAsia="zh-CN"/>
        </w:rPr>
      </w:pPr>
      <w:r>
        <w:rPr>
          <w:rFonts w:hint="eastAsia"/>
          <w:lang w:val="en-US" w:eastAsia="zh-CN"/>
        </w:rPr>
        <w:t>传统的价值链分析（图6.3（a））价值链活动区分为：</w:t>
      </w:r>
    </w:p>
    <w:p>
      <w:r>
        <w:rPr>
          <w:rFonts w:hint="eastAsia"/>
        </w:rPr>
        <w:t>（1）基本活动：是涉及产品的制造及其销售、转移到买方和售后服务的各种活动。</w:t>
      </w:r>
    </w:p>
    <w:p>
      <w:r>
        <w:rPr>
          <w:rFonts w:hint="eastAsia"/>
        </w:rPr>
        <w:t>（2）支持性活动是辅助基本活动，通过提供采购、技术、人力资源以及各种公司范围的职能来支持基本活动。</w:t>
      </w:r>
    </w:p>
    <w:p>
      <w:pPr>
        <w:rPr>
          <w:rFonts w:hint="eastAsia"/>
          <w:lang w:val="en-US" w:eastAsia="zh-CN"/>
        </w:rPr>
      </w:pPr>
    </w:p>
    <w:p>
      <w:pPr>
        <w:rPr>
          <w:rFonts w:hint="eastAsia"/>
          <w:lang w:val="en-US" w:eastAsia="zh-CN"/>
        </w:rPr>
      </w:pPr>
    </w:p>
    <w:p>
      <w:pPr>
        <w:rPr>
          <w:rFonts w:hint="eastAsia"/>
          <w:lang w:val="en-US" w:eastAsia="zh-CN"/>
        </w:rPr>
      </w:pPr>
    </w:p>
    <w:p/>
    <w:p>
      <w:r>
        <w:rPr>
          <w:rFonts w:hint="eastAsia"/>
          <w:lang w:eastAsia="zh-CN"/>
        </w:rPr>
        <w:t>【</w:t>
      </w:r>
      <w:r>
        <w:rPr>
          <w:rFonts w:hint="eastAsia"/>
        </w:rPr>
        <w:t>价值网络</w:t>
      </w:r>
      <w:r>
        <w:rPr>
          <w:rFonts w:hint="eastAsia"/>
          <w:lang w:eastAsia="zh-CN"/>
        </w:rPr>
        <w:t>】</w:t>
      </w:r>
      <w:r>
        <w:t>组织与构成其外部价值链的战略和非战略合作伙伴之间的联系。</w:t>
      </w:r>
    </w:p>
    <w:p>
      <w:r>
        <w:rPr>
          <w:rFonts w:hint="eastAsia"/>
          <w:lang w:eastAsia="zh-CN"/>
        </w:rPr>
        <w:t>【</w:t>
      </w:r>
      <w:r>
        <w:rPr>
          <w:rFonts w:hint="eastAsia"/>
        </w:rPr>
        <w:t>虚拟组织</w:t>
      </w:r>
      <w:r>
        <w:rPr>
          <w:rFonts w:hint="eastAsia"/>
          <w:lang w:eastAsia="zh-CN"/>
        </w:rPr>
        <w:t>】</w:t>
      </w:r>
      <w:r>
        <w:t>通过使用信息和通信技术，将具有不同职能的成员单位结合在一起，以实现共同目标的组织，组织的各个职能部分没有明显的实体边界。</w:t>
      </w:r>
    </w:p>
    <w:p>
      <w:r>
        <w:rPr>
          <w:rFonts w:hint="eastAsia"/>
          <w:lang w:eastAsia="zh-CN"/>
        </w:rPr>
        <w:t>【</w:t>
      </w:r>
      <w:r>
        <w:rPr>
          <w:rFonts w:hint="eastAsia"/>
        </w:rPr>
        <w:t>纵向整合</w:t>
      </w:r>
      <w:r>
        <w:rPr>
          <w:rFonts w:hint="eastAsia"/>
          <w:lang w:eastAsia="zh-CN"/>
        </w:rPr>
        <w:t>】</w:t>
      </w:r>
      <w:r>
        <w:t>供应链活动在组织内进行和控制的程度。</w:t>
      </w:r>
    </w:p>
    <w:p>
      <w:r>
        <w:rPr>
          <w:rFonts w:hint="eastAsia"/>
        </w:rPr>
        <w:t>优点：（1）对制造质量的控制；（2）与第三方打交道的费用降低；（3）在内部系统集成更容易</w:t>
      </w:r>
    </w:p>
    <w:p>
      <w:r>
        <w:rPr>
          <w:rFonts w:hint="eastAsia"/>
        </w:rPr>
        <w:t>缺点：（1）制造成本压力大；（2）供应链系统成本全部由制造商承担；（3）在应对短期和中期市场需求变化时，缺少灵活性；（4）缺少整合市场优势资源的能力</w:t>
      </w:r>
    </w:p>
    <w:p/>
    <w:p>
      <w:pPr>
        <w:rPr>
          <w:rFonts w:hint="eastAsia" w:eastAsiaTheme="minorEastAsia"/>
          <w:lang w:eastAsia="zh-CN"/>
        </w:rPr>
      </w:pPr>
      <w:r>
        <w:rPr>
          <w:rFonts w:hint="eastAsia"/>
          <w:lang w:eastAsia="zh-CN"/>
        </w:rPr>
        <w:t>【</w:t>
      </w:r>
      <w:r>
        <w:rPr>
          <w:rFonts w:hint="eastAsia"/>
        </w:rPr>
        <w:t>虚拟整合</w:t>
      </w:r>
      <w:r>
        <w:rPr>
          <w:rFonts w:hint="eastAsia"/>
          <w:lang w:eastAsia="zh-CN"/>
        </w:rPr>
        <w:t>】</w:t>
      </w:r>
      <w:r>
        <w:t>大多数供应链活动由第三方在组织外进行和控制。</w:t>
      </w:r>
    </w:p>
    <w:p>
      <w:pPr>
        <w:rPr>
          <w:rFonts w:hint="eastAsia" w:eastAsiaTheme="minorEastAsia"/>
          <w:lang w:eastAsia="zh-CN"/>
        </w:rPr>
      </w:pPr>
    </w:p>
    <w:p>
      <w:r>
        <w:rPr>
          <w:rFonts w:hint="eastAsia"/>
        </w:rPr>
        <w:t>优点：（1）通过供应商之间的竞争来控制成本；（2）更少的资产占用。库存成本由供应商承担。数据集成的成本在合作伙伴间分担。（3）能更加灵活的响应短期和中期市场需求变化；（4）能更好的整合市场优势资源。</w:t>
      </w:r>
    </w:p>
    <w:p>
      <w:r>
        <w:rPr>
          <w:rFonts w:hint="eastAsia"/>
        </w:rPr>
        <w:t>缺点：（1）对质量的直接控制能力较弱（尽管可以更换供应商）（2）对供应商的管理与协调较为困难；（3）与合作伙伴进行系统集成困难.</w:t>
      </w:r>
    </w:p>
    <w:p>
      <w:pPr>
        <w:rPr>
          <w:rFonts w:hint="eastAsia" w:eastAsiaTheme="minorEastAsia"/>
          <w:lang w:eastAsia="zh-CN"/>
        </w:rPr>
      </w:pPr>
      <w:r>
        <w:rPr>
          <w:rFonts w:hint="eastAsia" w:eastAsiaTheme="minorEastAsia"/>
          <w:lang w:eastAsia="zh-CN"/>
        </w:rPr>
        <w:drawing>
          <wp:inline distT="0" distB="0" distL="114300" distR="114300">
            <wp:extent cx="5266055" cy="3949700"/>
            <wp:effectExtent l="0" t="0" r="10795" b="12700"/>
            <wp:docPr id="3" name="图片 3" descr="90939843296243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09398432962433028"/>
                    <pic:cNvPicPr>
                      <a:picLocks noChangeAspect="1"/>
                    </pic:cNvPicPr>
                  </pic:nvPicPr>
                  <pic:blipFill>
                    <a:blip r:embed="rId5"/>
                    <a:stretch>
                      <a:fillRect/>
                    </a:stretch>
                  </pic:blipFill>
                  <pic:spPr>
                    <a:xfrm>
                      <a:off x="0" y="0"/>
                      <a:ext cx="5266055" cy="3949700"/>
                    </a:xfrm>
                    <a:prstGeom prst="rect">
                      <a:avLst/>
                    </a:prstGeom>
                  </pic:spPr>
                </pic:pic>
              </a:graphicData>
            </a:graphic>
          </wp:inline>
        </w:drawing>
      </w:r>
    </w:p>
    <w:p>
      <w:pPr>
        <w:rPr>
          <w:rFonts w:hint="eastAsia" w:eastAsiaTheme="minorEastAsia"/>
          <w:lang w:eastAsia="zh-CN"/>
        </w:rPr>
      </w:pPr>
    </w:p>
    <w:p>
      <w:pPr>
        <w:rPr>
          <w:rFonts w:hint="eastAsia"/>
          <w:lang w:val="en-US" w:eastAsia="zh-CN"/>
        </w:rPr>
      </w:pPr>
      <w:r>
        <w:rPr>
          <w:rFonts w:hint="eastAsia"/>
          <w:lang w:val="en-US" w:eastAsia="zh-CN"/>
        </w:rPr>
        <w:t>【 合作伙伴管理】</w:t>
      </w:r>
    </w:p>
    <w:p>
      <w:pPr>
        <w:rPr>
          <w:rFonts w:hint="eastAsia"/>
          <w:lang w:val="en-US" w:eastAsia="zh-CN"/>
        </w:rPr>
      </w:pPr>
      <w:r>
        <w:rPr>
          <w:rFonts w:hint="eastAsia"/>
          <w:lang w:val="en-US" w:eastAsia="zh-CN"/>
        </w:rPr>
        <w:t>重构供应链的一个关键要素是检查并设计与供应商和分销商等合作伙伴的关系模式。 随着电子商务所带来的全球化，需要重新评审伙伴关系的模式。 在本节中，探讨供应链合作伙伴关系有哪些形式，以及如何利用技术促进各种伙伴关系。</w:t>
      </w:r>
    </w:p>
    <w:p>
      <w:pPr>
        <w:rPr>
          <w:rFonts w:hint="eastAsia"/>
          <w:lang w:val="en-US" w:eastAsia="zh-CN"/>
        </w:rPr>
      </w:pPr>
      <w:r>
        <w:rPr>
          <w:rFonts w:hint="eastAsia"/>
          <w:lang w:val="en-US" w:eastAsia="zh-CN"/>
        </w:rPr>
        <w:t xml:space="preserve">在评审伙伴关系时，公司需要根据对供应链流程的控制程度来决定伙伴关系模型。 表6.3中提供了一些合作伙伴模型的战略选择方案，以便增加公司对流程的控制权和所有权。 </w:t>
      </w:r>
    </w:p>
    <w:p>
      <w:pPr>
        <w:rPr>
          <w:rFonts w:hint="eastAsia"/>
          <w:lang w:val="en-US" w:eastAsia="zh-CN"/>
        </w:rPr>
      </w:pPr>
      <w:r>
        <w:rPr>
          <w:rFonts w:hint="eastAsia"/>
          <w:lang w:val="en-US" w:eastAsia="zh-CN"/>
        </w:rPr>
        <w:t>方案1是特定流程的全部在企业内部进行，而方案2到9则提供不同程度的外包。</w:t>
      </w:r>
    </w:p>
    <w:p>
      <w:pPr>
        <w:rPr>
          <w:rFonts w:hint="eastAsia"/>
          <w:lang w:val="en-US" w:eastAsia="zh-CN"/>
        </w:rPr>
      </w:pPr>
      <w:r>
        <w:rPr>
          <w:rFonts w:hint="eastAsia"/>
          <w:lang w:val="en-US" w:eastAsia="zh-CN"/>
        </w:rPr>
        <w:t xml:space="preserve"> 在共享风险的协作伙伴关系（方案1至5）和竞争性外包（通过市场竞争可以实现最佳的性价比）之间也存在着一个连续体， 值得注意的是，外包虽然可能会令公司失去对流程的控制权，但通过合同能够对流程的产出进行严格的控制。</w:t>
      </w:r>
    </w:p>
    <w:p>
      <w:pPr>
        <w:rPr>
          <w:rFonts w:hint="eastAsia"/>
          <w:lang w:val="en-US" w:eastAsia="zh-CN"/>
        </w:rPr>
      </w:pPr>
    </w:p>
    <w:p>
      <w:pPr>
        <w:rPr>
          <w:rFonts w:hint="eastAsia"/>
          <w:lang w:val="en-US" w:eastAsia="zh-CN"/>
        </w:rPr>
      </w:pPr>
    </w:p>
    <w:tbl>
      <w:tblPr>
        <w:tblStyle w:val="4"/>
        <w:tblW w:w="6880" w:type="dxa"/>
        <w:tblCellSpacing w:w="0" w:type="dxa"/>
        <w:tblInd w:w="15" w:type="dxa"/>
        <w:shd w:val="clear" w:color="auto" w:fill="auto"/>
        <w:tblLayout w:type="fixed"/>
        <w:tblCellMar>
          <w:top w:w="0" w:type="dxa"/>
          <w:left w:w="0" w:type="dxa"/>
          <w:bottom w:w="0" w:type="dxa"/>
          <w:right w:w="0" w:type="dxa"/>
        </w:tblCellMar>
      </w:tblPr>
      <w:tblGrid>
        <w:gridCol w:w="530"/>
        <w:gridCol w:w="1351"/>
        <w:gridCol w:w="2101"/>
        <w:gridCol w:w="2898"/>
      </w:tblGrid>
      <w:tr>
        <w:tblPrEx>
          <w:shd w:val="clear" w:color="auto" w:fill="auto"/>
          <w:tblLayout w:type="fixed"/>
          <w:tblCellMar>
            <w:top w:w="0" w:type="dxa"/>
            <w:left w:w="0" w:type="dxa"/>
            <w:bottom w:w="0" w:type="dxa"/>
            <w:right w:w="0" w:type="dxa"/>
          </w:tblCellMar>
        </w:tblPrEx>
        <w:trPr>
          <w:trHeight w:val="1312" w:hRule="atLeast"/>
          <w:tblCellSpacing w:w="0" w:type="dxa"/>
        </w:trPr>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b/>
                <w:color w:val="000000"/>
                <w:sz w:val="21"/>
                <w:szCs w:val="21"/>
              </w:rPr>
              <w:t>序号</w:t>
            </w:r>
          </w:p>
        </w:tc>
        <w:tc>
          <w:tcPr>
            <w:tcW w:w="1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b/>
                <w:color w:val="000000"/>
                <w:sz w:val="21"/>
                <w:szCs w:val="21"/>
              </w:rPr>
              <w:t>伙伴关系关系选择方案设计</w:t>
            </w:r>
          </w:p>
        </w:tc>
        <w:tc>
          <w:tcPr>
            <w:tcW w:w="210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b/>
                <w:color w:val="000000"/>
                <w:sz w:val="21"/>
                <w:szCs w:val="21"/>
              </w:rPr>
              <w:t>技术基础设施集成</w:t>
            </w:r>
          </w:p>
        </w:tc>
        <w:tc>
          <w:tcPr>
            <w:tcW w:w="289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b/>
                <w:color w:val="000000"/>
                <w:sz w:val="21"/>
                <w:szCs w:val="21"/>
              </w:rPr>
              <w:t>例子</w:t>
            </w:r>
          </w:p>
        </w:tc>
      </w:tr>
      <w:tr>
        <w:tblPrEx>
          <w:tblLayout w:type="fixed"/>
          <w:tblCellMar>
            <w:top w:w="0" w:type="dxa"/>
            <w:left w:w="0" w:type="dxa"/>
            <w:bottom w:w="0" w:type="dxa"/>
            <w:right w:w="0" w:type="dxa"/>
          </w:tblCellMar>
        </w:tblPrEx>
        <w:trPr>
          <w:trHeight w:val="1672" w:hRule="atLeast"/>
          <w:tblCellSpacing w:w="0" w:type="dxa"/>
        </w:trPr>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1</w:t>
            </w:r>
          </w:p>
        </w:tc>
        <w:tc>
          <w:tcPr>
            <w:tcW w:w="1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FF0000"/>
                <w:sz w:val="21"/>
                <w:szCs w:val="21"/>
              </w:rPr>
              <w:t>绝对控股（超过51％的公司股权）</w:t>
            </w:r>
          </w:p>
        </w:tc>
        <w:tc>
          <w:tcPr>
            <w:tcW w:w="210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合并公司系统</w:t>
            </w:r>
          </w:p>
        </w:tc>
        <w:tc>
          <w:tcPr>
            <w:tcW w:w="289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冰岛（零售商）购买布克（经销公司）。 自1993年以来，思科已经完成了30多次收购（并非都与SCM都相关）</w:t>
            </w:r>
          </w:p>
        </w:tc>
      </w:tr>
      <w:tr>
        <w:tblPrEx>
          <w:tblLayout w:type="fixed"/>
          <w:tblCellMar>
            <w:top w:w="0" w:type="dxa"/>
            <w:left w:w="0" w:type="dxa"/>
            <w:bottom w:w="0" w:type="dxa"/>
            <w:right w:w="0" w:type="dxa"/>
          </w:tblCellMar>
        </w:tblPrEx>
        <w:trPr>
          <w:trHeight w:val="1312" w:hRule="atLeast"/>
          <w:tblCellSpacing w:w="0" w:type="dxa"/>
        </w:trPr>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2</w:t>
            </w:r>
          </w:p>
        </w:tc>
        <w:tc>
          <w:tcPr>
            <w:tcW w:w="1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FF0000"/>
                <w:sz w:val="21"/>
                <w:szCs w:val="21"/>
              </w:rPr>
              <w:t>股权投资（少于49％的股权）</w:t>
            </w:r>
          </w:p>
        </w:tc>
        <w:tc>
          <w:tcPr>
            <w:tcW w:w="210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合并公司系统</w:t>
            </w:r>
          </w:p>
          <w:p>
            <w:pPr>
              <w:pStyle w:val="2"/>
              <w:keepNext w:val="0"/>
              <w:keepLines w:val="0"/>
              <w:widowControl/>
              <w:suppressLineNumbers w:val="0"/>
              <w:rPr>
                <w:sz w:val="15"/>
                <w:szCs w:val="15"/>
              </w:rPr>
            </w:pPr>
          </w:p>
        </w:tc>
        <w:tc>
          <w:tcPr>
            <w:tcW w:w="289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思科还对其硬件和软件供应商进行了40多次投资</w:t>
            </w:r>
          </w:p>
        </w:tc>
      </w:tr>
      <w:tr>
        <w:tblPrEx>
          <w:tblLayout w:type="fixed"/>
          <w:tblCellMar>
            <w:top w:w="0" w:type="dxa"/>
            <w:left w:w="0" w:type="dxa"/>
            <w:bottom w:w="0" w:type="dxa"/>
            <w:right w:w="0" w:type="dxa"/>
          </w:tblCellMar>
        </w:tblPrEx>
        <w:trPr>
          <w:trHeight w:val="1312" w:hRule="atLeast"/>
          <w:tblCellSpacing w:w="0" w:type="dxa"/>
        </w:trPr>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3</w:t>
            </w:r>
          </w:p>
        </w:tc>
        <w:tc>
          <w:tcPr>
            <w:tcW w:w="1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FF0000"/>
                <w:sz w:val="21"/>
                <w:szCs w:val="21"/>
              </w:rPr>
              <w:t>战略联盟</w:t>
            </w:r>
          </w:p>
        </w:tc>
        <w:tc>
          <w:tcPr>
            <w:tcW w:w="210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用于新产品开发的协作工具和群组软件</w:t>
            </w:r>
          </w:p>
        </w:tc>
        <w:tc>
          <w:tcPr>
            <w:tcW w:w="289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大东电报公司、康柏和微软新的电子商务解决方案称为a-Services</w:t>
            </w:r>
          </w:p>
        </w:tc>
      </w:tr>
      <w:tr>
        <w:tblPrEx>
          <w:tblLayout w:type="fixed"/>
          <w:tblCellMar>
            <w:top w:w="0" w:type="dxa"/>
            <w:left w:w="0" w:type="dxa"/>
            <w:bottom w:w="0" w:type="dxa"/>
            <w:right w:w="0" w:type="dxa"/>
          </w:tblCellMar>
        </w:tblPrEx>
        <w:trPr>
          <w:trHeight w:val="1312" w:hRule="atLeast"/>
          <w:tblCellSpacing w:w="0" w:type="dxa"/>
        </w:trPr>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4</w:t>
            </w:r>
          </w:p>
        </w:tc>
        <w:tc>
          <w:tcPr>
            <w:tcW w:w="1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FF0000"/>
                <w:sz w:val="21"/>
                <w:szCs w:val="21"/>
              </w:rPr>
              <w:t>利润分享伙伴关系</w:t>
            </w:r>
          </w:p>
        </w:tc>
        <w:tc>
          <w:tcPr>
            <w:tcW w:w="210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用于新产品开发的协作工具和群组软件</w:t>
            </w:r>
          </w:p>
        </w:tc>
        <w:tc>
          <w:tcPr>
            <w:tcW w:w="289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信息系统外包</w:t>
            </w:r>
          </w:p>
        </w:tc>
      </w:tr>
      <w:tr>
        <w:tblPrEx>
          <w:tblLayout w:type="fixed"/>
          <w:tblCellMar>
            <w:top w:w="0" w:type="dxa"/>
            <w:left w:w="0" w:type="dxa"/>
            <w:bottom w:w="0" w:type="dxa"/>
            <w:right w:w="0" w:type="dxa"/>
          </w:tblCellMar>
        </w:tblPrEx>
        <w:trPr>
          <w:trHeight w:val="1312" w:hRule="atLeast"/>
          <w:tblCellSpacing w:w="0" w:type="dxa"/>
        </w:trPr>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5</w:t>
            </w:r>
          </w:p>
        </w:tc>
        <w:tc>
          <w:tcPr>
            <w:tcW w:w="1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FF0000"/>
                <w:sz w:val="21"/>
                <w:szCs w:val="21"/>
              </w:rPr>
              <w:t>长期合同</w:t>
            </w:r>
          </w:p>
        </w:tc>
        <w:tc>
          <w:tcPr>
            <w:tcW w:w="210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同上。 管理服务水平协议的工具很重要</w:t>
            </w:r>
          </w:p>
        </w:tc>
        <w:tc>
          <w:tcPr>
            <w:tcW w:w="289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5"/>
                <w:szCs w:val="15"/>
              </w:rPr>
            </w:pPr>
            <w:r>
              <w:rPr>
                <w:color w:val="000000"/>
                <w:sz w:val="21"/>
                <w:szCs w:val="21"/>
              </w:rPr>
              <w:t>ISPs签订的关于性能和可用性的服务等级协议，带有惩罚性条款。</w:t>
            </w:r>
          </w:p>
        </w:tc>
      </w:tr>
    </w:tbl>
    <w:p>
      <w:pPr>
        <w:rPr>
          <w:rFonts w:hint="eastAsia"/>
          <w:lang w:val="en-US" w:eastAsia="zh-CN"/>
        </w:rPr>
      </w:pPr>
    </w:p>
    <w:tbl>
      <w:tblPr>
        <w:tblStyle w:val="4"/>
        <w:tblW w:w="7598" w:type="dxa"/>
        <w:tblCellSpacing w:w="0" w:type="dxa"/>
        <w:tblInd w:w="15" w:type="dxa"/>
        <w:shd w:val="clear" w:color="auto" w:fill="auto"/>
        <w:tblLayout w:type="fixed"/>
        <w:tblCellMar>
          <w:top w:w="0" w:type="dxa"/>
          <w:left w:w="0" w:type="dxa"/>
          <w:bottom w:w="0" w:type="dxa"/>
          <w:right w:w="0" w:type="dxa"/>
        </w:tblCellMar>
      </w:tblPr>
      <w:tblGrid>
        <w:gridCol w:w="421"/>
        <w:gridCol w:w="1511"/>
        <w:gridCol w:w="2351"/>
        <w:gridCol w:w="3315"/>
      </w:tblGrid>
      <w:tr>
        <w:tblPrEx>
          <w:tblLayout w:type="fixed"/>
          <w:tblCellMar>
            <w:top w:w="0" w:type="dxa"/>
            <w:left w:w="0" w:type="dxa"/>
            <w:bottom w:w="0" w:type="dxa"/>
            <w:right w:w="0" w:type="dxa"/>
          </w:tblCellMar>
        </w:tblPrEx>
        <w:trPr>
          <w:trHeight w:val="90" w:hRule="atLeast"/>
          <w:tblCellSpacing w:w="0" w:type="dxa"/>
        </w:trPr>
        <w:tc>
          <w:tcPr>
            <w:tcW w:w="42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6</w:t>
            </w:r>
          </w:p>
        </w:tc>
        <w:tc>
          <w:tcPr>
            <w:tcW w:w="151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FF0000"/>
                <w:sz w:val="20"/>
                <w:szCs w:val="20"/>
              </w:rPr>
              <w:t>首选供应商</w:t>
            </w:r>
          </w:p>
        </w:tc>
        <w:tc>
          <w:tcPr>
            <w:tcW w:w="2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与首选合作伙伴建立的永久性EDI或互联网EDI链接</w:t>
            </w:r>
          </w:p>
        </w:tc>
        <w:tc>
          <w:tcPr>
            <w:tcW w:w="331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Tesco信息交换</w:t>
            </w:r>
          </w:p>
        </w:tc>
      </w:tr>
      <w:tr>
        <w:tblPrEx>
          <w:tblLayout w:type="fixed"/>
          <w:tblCellMar>
            <w:top w:w="0" w:type="dxa"/>
            <w:left w:w="0" w:type="dxa"/>
            <w:bottom w:w="0" w:type="dxa"/>
            <w:right w:w="0" w:type="dxa"/>
          </w:tblCellMar>
        </w:tblPrEx>
        <w:trPr>
          <w:trHeight w:val="90" w:hRule="atLeast"/>
          <w:tblCellSpacing w:w="0" w:type="dxa"/>
        </w:trPr>
        <w:tc>
          <w:tcPr>
            <w:tcW w:w="42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7</w:t>
            </w:r>
          </w:p>
        </w:tc>
        <w:tc>
          <w:tcPr>
            <w:tcW w:w="151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FF0000"/>
                <w:sz w:val="20"/>
                <w:szCs w:val="20"/>
              </w:rPr>
              <w:t>竞争性招标</w:t>
            </w:r>
          </w:p>
        </w:tc>
        <w:tc>
          <w:tcPr>
            <w:tcW w:w="2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在中介或买方网站发布招标文件</w:t>
            </w:r>
          </w:p>
        </w:tc>
        <w:tc>
          <w:tcPr>
            <w:tcW w:w="331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买方安排的拍卖</w:t>
            </w:r>
          </w:p>
        </w:tc>
      </w:tr>
      <w:tr>
        <w:tblPrEx>
          <w:tblLayout w:type="fixed"/>
          <w:tblCellMar>
            <w:top w:w="0" w:type="dxa"/>
            <w:left w:w="0" w:type="dxa"/>
            <w:bottom w:w="0" w:type="dxa"/>
            <w:right w:w="0" w:type="dxa"/>
          </w:tblCellMar>
        </w:tblPrEx>
        <w:trPr>
          <w:trHeight w:val="90" w:hRule="atLeast"/>
          <w:tblCellSpacing w:w="0" w:type="dxa"/>
        </w:trPr>
        <w:tc>
          <w:tcPr>
            <w:tcW w:w="42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8</w:t>
            </w:r>
          </w:p>
        </w:tc>
        <w:tc>
          <w:tcPr>
            <w:tcW w:w="151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FF0000"/>
                <w:sz w:val="20"/>
                <w:szCs w:val="20"/>
              </w:rPr>
              <w:t>短期合同</w:t>
            </w:r>
          </w:p>
        </w:tc>
        <w:tc>
          <w:tcPr>
            <w:tcW w:w="2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同上</w:t>
            </w:r>
          </w:p>
        </w:tc>
        <w:tc>
          <w:tcPr>
            <w:tcW w:w="331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同上</w:t>
            </w:r>
          </w:p>
        </w:tc>
      </w:tr>
      <w:tr>
        <w:tblPrEx>
          <w:tblLayout w:type="fixed"/>
          <w:tblCellMar>
            <w:top w:w="0" w:type="dxa"/>
            <w:left w:w="0" w:type="dxa"/>
            <w:bottom w:w="0" w:type="dxa"/>
            <w:right w:w="0" w:type="dxa"/>
          </w:tblCellMar>
        </w:tblPrEx>
        <w:trPr>
          <w:trHeight w:val="90" w:hRule="atLeast"/>
          <w:tblCellSpacing w:w="0" w:type="dxa"/>
        </w:trPr>
        <w:tc>
          <w:tcPr>
            <w:tcW w:w="42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9</w:t>
            </w:r>
          </w:p>
        </w:tc>
        <w:tc>
          <w:tcPr>
            <w:tcW w:w="151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FF0000"/>
                <w:sz w:val="20"/>
                <w:szCs w:val="20"/>
              </w:rPr>
              <w:t>现货市场和拍卖</w:t>
            </w:r>
          </w:p>
        </w:tc>
        <w:tc>
          <w:tcPr>
            <w:tcW w:w="2351"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在中介或买方网站进行拍卖</w:t>
            </w:r>
          </w:p>
        </w:tc>
        <w:tc>
          <w:tcPr>
            <w:tcW w:w="331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3"/>
                <w:szCs w:val="13"/>
              </w:rPr>
            </w:pPr>
            <w:r>
              <w:rPr>
                <w:color w:val="000000"/>
                <w:sz w:val="20"/>
                <w:szCs w:val="20"/>
              </w:rPr>
              <w:t>企业对企业市场，例如 www.freemarkets.com</w:t>
            </w:r>
          </w:p>
        </w:tc>
      </w:tr>
    </w:tbl>
    <w:p>
      <w:pPr>
        <w:rPr>
          <w:rFonts w:hint="eastAsia"/>
          <w:lang w:val="en-US" w:eastAsia="zh-CN"/>
        </w:rPr>
      </w:pPr>
      <w:r>
        <w:rPr>
          <w:rFonts w:hint="eastAsia"/>
          <w:lang w:val="en-US" w:eastAsia="zh-CN"/>
        </w:rPr>
        <w:t>方案1是特定流程的全部在企业内部进行，而方案2到9则提供不同程度的外包。</w:t>
      </w:r>
    </w:p>
    <w:p>
      <w:pPr>
        <w:rPr>
          <w:rFonts w:hint="eastAsia"/>
          <w:lang w:val="en-US" w:eastAsia="zh-CN"/>
        </w:rPr>
      </w:pPr>
    </w:p>
    <w:p>
      <w:pPr>
        <w:rPr>
          <w:rFonts w:hint="eastAsia"/>
          <w:lang w:val="en-US" w:eastAsia="zh-CN"/>
        </w:rPr>
      </w:pPr>
      <w:r>
        <w:rPr>
          <w:rFonts w:hint="eastAsia"/>
          <w:lang w:val="en-US" w:eastAsia="zh-CN"/>
        </w:rPr>
        <w:t>合作伙伴关系的战略方案的选择</w:t>
      </w:r>
    </w:p>
    <w:p>
      <w:pPr>
        <w:rPr>
          <w:rFonts w:hint="eastAsia"/>
          <w:lang w:val="en-US" w:eastAsia="zh-CN"/>
        </w:rPr>
      </w:pPr>
      <w:r>
        <w:rPr>
          <w:rFonts w:hint="eastAsia"/>
          <w:lang w:val="en-US" w:eastAsia="zh-CN"/>
        </w:rPr>
        <w:t>如果公司的核心目标是</w:t>
      </w:r>
      <w:r>
        <w:rPr>
          <w:rFonts w:hint="eastAsia"/>
          <w:color w:val="0000FF"/>
          <w:lang w:val="en-US" w:eastAsia="zh-CN"/>
        </w:rPr>
        <w:t>降低成本</w:t>
      </w:r>
      <w:r>
        <w:rPr>
          <w:rFonts w:hint="eastAsia"/>
          <w:lang w:val="en-US" w:eastAsia="zh-CN"/>
        </w:rPr>
        <w:t>，那么就需要构建具有竞争性质的伙伴关系（相当于前表中的方案</w:t>
      </w:r>
      <w:r>
        <w:rPr>
          <w:rFonts w:hint="eastAsia"/>
          <w:color w:val="0000FF"/>
          <w:lang w:val="en-US" w:eastAsia="zh-CN"/>
        </w:rPr>
        <w:t>6至9</w:t>
      </w:r>
      <w:r>
        <w:rPr>
          <w:rFonts w:hint="eastAsia"/>
          <w:lang w:val="en-US" w:eastAsia="zh-CN"/>
        </w:rPr>
        <w:t xml:space="preserve">）。 </w:t>
      </w:r>
    </w:p>
    <w:p>
      <w:pPr>
        <w:rPr>
          <w:rFonts w:hint="eastAsia"/>
          <w:lang w:val="en-US" w:eastAsia="zh-CN"/>
        </w:rPr>
      </w:pPr>
      <w:r>
        <w:rPr>
          <w:rFonts w:hint="eastAsia"/>
          <w:lang w:val="en-US" w:eastAsia="zh-CN"/>
        </w:rPr>
        <w:t>如果公司的核心目标是</w:t>
      </w:r>
      <w:r>
        <w:rPr>
          <w:rFonts w:hint="eastAsia"/>
          <w:color w:val="0000FF"/>
          <w:lang w:val="en-US" w:eastAsia="zh-CN"/>
        </w:rPr>
        <w:t>创造增值收益</w:t>
      </w:r>
      <w:r>
        <w:rPr>
          <w:rFonts w:hint="eastAsia"/>
          <w:lang w:val="en-US" w:eastAsia="zh-CN"/>
        </w:rPr>
        <w:t>（如提高交付速度，增加差异化的设计特征或按需定制），那么方案6至9这种保持一定距离的正常交易方法可能并不合适， 在这种情况下，战略联盟或协作合作伙伴关系是最佳选择（相当于前表中的方案1至5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【提升供应链】</w:t>
      </w:r>
    </w:p>
    <w:p>
      <w:pPr>
        <w:rPr>
          <w:rFonts w:hint="eastAsia"/>
          <w:lang w:val="en-US" w:eastAsia="zh-CN"/>
        </w:rPr>
      </w:pPr>
      <w:r>
        <w:rPr>
          <w:rFonts w:hint="eastAsia"/>
          <w:lang w:val="en-US" w:eastAsia="zh-CN"/>
        </w:rPr>
        <w:t>提升供应链的主要战略重点是向客户提供出众的价值主张，提高客户价值途径有：</w:t>
      </w:r>
    </w:p>
    <w:p>
      <w:pPr>
        <w:rPr>
          <w:rFonts w:hint="eastAsia"/>
          <w:lang w:val="en-US" w:eastAsia="zh-CN"/>
        </w:rPr>
      </w:pPr>
      <w:r>
        <w:rPr>
          <w:rFonts w:hint="eastAsia"/>
          <w:lang w:val="en-US" w:eastAsia="zh-CN"/>
        </w:rPr>
        <w:t>提高产品和客户服务质量、</w:t>
      </w:r>
    </w:p>
    <w:p>
      <w:pPr>
        <w:rPr>
          <w:rFonts w:hint="eastAsia"/>
          <w:lang w:val="en-US" w:eastAsia="zh-CN"/>
        </w:rPr>
      </w:pPr>
      <w:r>
        <w:rPr>
          <w:rFonts w:hint="eastAsia"/>
          <w:lang w:val="en-US" w:eastAsia="zh-CN"/>
        </w:rPr>
        <w:t>降低价格和履行时间（如第5章所述）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r>
        <w:rPr>
          <w:rFonts w:hint="eastAsia"/>
        </w:rPr>
        <w:t>信息供应链</w:t>
      </w:r>
      <w:r>
        <w:rPr>
          <w:rFonts w:hint="eastAsia"/>
          <w:lang w:val="en-US" w:eastAsia="zh-CN"/>
        </w:rPr>
        <w:t>】</w:t>
      </w:r>
    </w:p>
    <w:p>
      <w:pPr>
        <w:rPr>
          <w:rFonts w:hint="eastAsia"/>
          <w:lang w:val="en-US" w:eastAsia="zh-CN"/>
        </w:rPr>
      </w:pPr>
      <w:r>
        <w:rPr>
          <w:rFonts w:hint="eastAsia"/>
          <w:lang w:val="en-US" w:eastAsia="zh-CN"/>
        </w:rPr>
        <w:t>信息供应链（Information supply chain）：</w:t>
      </w:r>
    </w:p>
    <w:p>
      <w:pPr>
        <w:rPr>
          <w:rFonts w:hint="eastAsia"/>
          <w:lang w:val="en-US" w:eastAsia="zh-CN"/>
        </w:rPr>
      </w:pPr>
      <w:r>
        <w:rPr>
          <w:rFonts w:hint="eastAsia"/>
          <w:lang w:val="en-US" w:eastAsia="zh-CN"/>
        </w:rPr>
        <w:t>一个以信息为中心的实体和虚拟供应链，其中每个企业个体通过以安全的方式，在正确的时间向正确的对象提供正确的信息，在供应链中创造价值。</w:t>
      </w:r>
    </w:p>
    <w:p>
      <w:pPr>
        <w:rPr>
          <w:rFonts w:hint="eastAsia"/>
          <w:lang w:val="en-US" w:eastAsia="zh-CN"/>
        </w:rPr>
      </w:pPr>
      <w:r>
        <w:rPr>
          <w:rFonts w:hint="eastAsia"/>
          <w:lang w:val="en-US" w:eastAsia="zh-CN"/>
        </w:rPr>
        <w:t>信息供应链通过收集、组织、筛选、综合和分发信息为相互合作的企业个体创造价值。</w:t>
      </w:r>
    </w:p>
    <w:p>
      <w:pPr>
        <w:rPr>
          <w:rFonts w:hint="eastAsia"/>
          <w:lang w:val="en-US" w:eastAsia="zh-CN"/>
        </w:rPr>
      </w:pPr>
      <w:r>
        <w:rPr>
          <w:rFonts w:hint="eastAsia"/>
          <w:lang w:val="en-US" w:eastAsia="zh-CN"/>
        </w:rPr>
        <w:t xml:space="preserve">培育信息供应链面临的挑战来自组织和技术两个方面。 </w:t>
      </w:r>
    </w:p>
    <w:p>
      <w:pPr>
        <w:rPr>
          <w:rFonts w:hint="eastAsia"/>
          <w:lang w:val="en-US" w:eastAsia="zh-CN"/>
        </w:rPr>
      </w:pPr>
      <w:r>
        <w:rPr>
          <w:rFonts w:hint="eastAsia"/>
          <w:lang w:val="en-US" w:eastAsia="zh-CN"/>
        </w:rPr>
        <w:t>对信息供应链的投资，能提高企业内部和组织间业务流程的敏捷性和灵活性。</w:t>
      </w:r>
    </w:p>
    <w:p>
      <w:pPr>
        <w:rPr>
          <w:rFonts w:hint="eastAsia"/>
          <w:lang w:val="en-US" w:eastAsia="zh-CN"/>
        </w:rPr>
      </w:pPr>
    </w:p>
    <w:p>
      <w:pPr>
        <w:rPr>
          <w:rFonts w:hint="eastAsia"/>
          <w:lang w:val="en-US" w:eastAsia="zh-CN"/>
        </w:rPr>
      </w:pPr>
      <w:r>
        <w:rPr>
          <w:rFonts w:hint="eastAsia"/>
          <w:lang w:val="en-US" w:eastAsia="zh-CN"/>
        </w:rPr>
        <w:t>实现e-SCM的一些数据传输技术方案和标准有：</w:t>
      </w:r>
    </w:p>
    <w:p>
      <w:pPr>
        <w:numPr>
          <w:ilvl w:val="0"/>
          <w:numId w:val="1"/>
        </w:numPr>
        <w:ind w:left="425" w:leftChars="0" w:hanging="425" w:firstLineChars="0"/>
        <w:rPr>
          <w:rFonts w:hint="eastAsia"/>
          <w:lang w:val="en-US" w:eastAsia="zh-CN"/>
        </w:rPr>
      </w:pPr>
      <w:r>
        <w:rPr>
          <w:rFonts w:hint="eastAsia"/>
          <w:lang w:val="en-US" w:eastAsia="zh-CN"/>
        </w:rPr>
        <w:t>EDI是交换订单、交货单和发票等商业票据的较为成熟和简单的方法。 如图6.7/6.8</w:t>
      </w:r>
    </w:p>
    <w:p>
      <w:pPr>
        <w:numPr>
          <w:ilvl w:val="0"/>
          <w:numId w:val="1"/>
        </w:numPr>
        <w:ind w:left="425" w:leftChars="0" w:hanging="425" w:firstLineChars="0"/>
        <w:rPr>
          <w:rFonts w:hint="eastAsia"/>
          <w:lang w:val="en-US" w:eastAsia="zh-CN"/>
        </w:rPr>
      </w:pPr>
      <w:r>
        <w:rPr>
          <w:rFonts w:hint="eastAsia"/>
          <w:lang w:val="en-US" w:eastAsia="zh-CN"/>
        </w:rPr>
        <w:t xml:space="preserve">基于XML或XML-EDI的数据传输,可实现更复杂的一对多数据传输，例如将订单发送给潜在供应商。 </w:t>
      </w:r>
    </w:p>
    <w:p>
      <w:pPr>
        <w:numPr>
          <w:ilvl w:val="0"/>
          <w:numId w:val="1"/>
        </w:numPr>
        <w:ind w:left="425" w:leftChars="0" w:hanging="425" w:firstLineChars="0"/>
        <w:rPr>
          <w:rFonts w:hint="eastAsia"/>
          <w:lang w:val="en-US" w:eastAsia="zh-CN"/>
        </w:rPr>
      </w:pPr>
      <w:r>
        <w:rPr>
          <w:rFonts w:hint="eastAsia"/>
          <w:lang w:val="en-US" w:eastAsia="zh-CN"/>
        </w:rPr>
        <w:t xml:space="preserve">使用中间件或软件实时整合或转化来自外部系统的请求，以便它们被内部系统理解并触发后续事件。 </w:t>
      </w:r>
    </w:p>
    <w:p>
      <w:pPr>
        <w:numPr>
          <w:ilvl w:val="0"/>
          <w:numId w:val="1"/>
        </w:numPr>
        <w:ind w:left="425" w:leftChars="0" w:hanging="425" w:firstLineChars="0"/>
        <w:rPr>
          <w:rFonts w:hint="eastAsia"/>
          <w:lang w:val="en-US" w:eastAsia="zh-CN"/>
        </w:rPr>
      </w:pPr>
      <w:r>
        <w:rPr>
          <w:rFonts w:hint="eastAsia"/>
          <w:lang w:val="en-US" w:eastAsia="zh-CN"/>
        </w:rPr>
        <w:t>通过传统的基于网络的B2B电子商务商店进行手动电子邮件订购或在线购买。</w:t>
      </w:r>
    </w:p>
    <w:p>
      <w:pPr>
        <w:jc w:val="center"/>
      </w:pPr>
      <w:r>
        <w:drawing>
          <wp:inline distT="0" distB="0" distL="114300" distR="114300">
            <wp:extent cx="4828540" cy="1450340"/>
            <wp:effectExtent l="0" t="0" r="10160" b="16510"/>
            <wp:docPr id="8" name="Picture 8" descr="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0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28540" cy="145034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left"/>
        <w:rPr>
          <w:rFonts w:hint="eastAsia"/>
          <w:lang w:val="en-US" w:eastAsia="zh-CN"/>
        </w:rPr>
      </w:pPr>
      <w:r>
        <w:rPr>
          <w:rFonts w:hint="eastAsia"/>
          <w:lang w:val="en-US" w:eastAsia="zh-CN"/>
        </w:rPr>
        <w:t>供应链管理电子化的好处</w:t>
      </w:r>
    </w:p>
    <w:p>
      <w:pPr>
        <w:jc w:val="left"/>
        <w:rPr>
          <w:rFonts w:hint="eastAsia"/>
          <w:lang w:val="en-US" w:eastAsia="zh-CN"/>
        </w:rPr>
      </w:pPr>
      <w:r>
        <w:rPr>
          <w:rFonts w:hint="eastAsia"/>
          <w:color w:val="0000FF"/>
          <w:lang w:val="en-US" w:eastAsia="zh-CN"/>
        </w:rPr>
        <w:t>1提高单个流程的效率</w:t>
      </w:r>
      <w:r>
        <w:rPr>
          <w:rFonts w:hint="eastAsia"/>
          <w:lang w:val="en-US" w:eastAsia="zh-CN"/>
        </w:rPr>
        <w:t>。如果B2B公司采用电子采购，将会缩短订购周期并降低每笔订单的成本。好处：减少订购周期时间和每笔订单的成本。</w:t>
      </w:r>
    </w:p>
    <w:p>
      <w:pPr>
        <w:jc w:val="left"/>
        <w:rPr>
          <w:rFonts w:hint="eastAsia"/>
          <w:lang w:val="en-US" w:eastAsia="zh-CN"/>
        </w:rPr>
      </w:pPr>
      <w:r>
        <w:rPr>
          <w:rFonts w:hint="eastAsia"/>
          <w:lang w:val="en-US" w:eastAsia="zh-CN"/>
        </w:rPr>
        <w:t>2</w:t>
      </w:r>
      <w:r>
        <w:rPr>
          <w:rFonts w:hint="eastAsia"/>
          <w:color w:val="0000FF"/>
          <w:lang w:val="en-US" w:eastAsia="zh-CN"/>
        </w:rPr>
        <w:t>降低供应链的复杂性。</w:t>
      </w:r>
      <w:r>
        <w:rPr>
          <w:rFonts w:hint="eastAsia"/>
          <w:lang w:val="en-US" w:eastAsia="zh-CN"/>
        </w:rPr>
        <w:t>通过脱媒，B2B公司通过建设电子商务网站直接销售，不需再经过分销商或零售商。好处：降低渠道分销和销售成本。</w:t>
      </w:r>
    </w:p>
    <w:p>
      <w:pPr>
        <w:jc w:val="left"/>
        <w:rPr>
          <w:rFonts w:hint="eastAsia"/>
          <w:lang w:val="en-US" w:eastAsia="zh-CN"/>
        </w:rPr>
      </w:pPr>
      <w:r>
        <w:rPr>
          <w:rFonts w:hint="eastAsia"/>
          <w:lang w:val="en-US" w:eastAsia="zh-CN"/>
        </w:rPr>
        <w:t>3</w:t>
      </w:r>
      <w:r>
        <w:rPr>
          <w:rFonts w:hint="eastAsia"/>
          <w:color w:val="0000FF"/>
          <w:lang w:val="en-US" w:eastAsia="zh-CN"/>
        </w:rPr>
        <w:t>改进供应链各要素之间的数据整合。</w:t>
      </w:r>
      <w:r>
        <w:rPr>
          <w:rFonts w:hint="eastAsia"/>
          <w:lang w:val="en-US" w:eastAsia="zh-CN"/>
        </w:rPr>
        <w:t xml:space="preserve"> B2B公司可以与供应商分享产品需求信息，以优化供应过程。 好处：降低文稿处理成本。</w:t>
      </w:r>
    </w:p>
    <w:p>
      <w:pPr>
        <w:jc w:val="left"/>
        <w:rPr>
          <w:rFonts w:hint="eastAsia"/>
          <w:lang w:val="en-US" w:eastAsia="zh-CN"/>
        </w:rPr>
      </w:pPr>
      <w:r>
        <w:rPr>
          <w:rFonts w:hint="eastAsia"/>
          <w:color w:val="0000FF"/>
          <w:lang w:val="en-US" w:eastAsia="zh-CN"/>
        </w:rPr>
        <w:t>4通过外包降低成本。</w:t>
      </w:r>
      <w:r>
        <w:rPr>
          <w:rFonts w:hint="eastAsia"/>
          <w:lang w:val="en-US" w:eastAsia="zh-CN"/>
        </w:rPr>
        <w:t>公司可以外包或使用虚拟整合将资产和成本（如库存持有成本）转移给第三方公司。好处：通过</w:t>
      </w:r>
      <w:r>
        <w:rPr>
          <w:rFonts w:hint="eastAsia"/>
          <w:highlight w:val="yellow"/>
          <w:lang w:val="en-US" w:eastAsia="zh-CN"/>
        </w:rPr>
        <w:t>价格竞争</w:t>
      </w:r>
      <w:r>
        <w:rPr>
          <w:rFonts w:hint="eastAsia"/>
          <w:lang w:val="en-US" w:eastAsia="zh-CN"/>
        </w:rPr>
        <w:t>、减少在制造能力和支持能力方面的开支来降低成本。</w:t>
      </w:r>
    </w:p>
    <w:p>
      <w:pPr>
        <w:jc w:val="left"/>
        <w:rPr>
          <w:rFonts w:hint="eastAsia"/>
          <w:lang w:val="en-US" w:eastAsia="zh-CN"/>
        </w:rPr>
      </w:pPr>
      <w:r>
        <w:rPr>
          <w:rFonts w:hint="eastAsia"/>
          <w:color w:val="0000FF"/>
          <w:lang w:val="en-US" w:eastAsia="zh-CN"/>
        </w:rPr>
        <w:t xml:space="preserve">5创新。 </w:t>
      </w:r>
      <w:r>
        <w:rPr>
          <w:rFonts w:hint="eastAsia"/>
          <w:lang w:val="en-US" w:eastAsia="zh-CN"/>
        </w:rPr>
        <w:t>E-SCM应该能够更灵活</w:t>
      </w:r>
      <w:bookmarkStart w:id="0" w:name="_GoBack"/>
      <w:bookmarkEnd w:id="0"/>
      <w:r>
        <w:rPr>
          <w:rFonts w:hint="eastAsia"/>
          <w:lang w:val="en-US" w:eastAsia="zh-CN"/>
        </w:rPr>
        <w:t>地提供更多种类的产品并缩短上市时间。好处：更好的客户响应能力。</w:t>
      </w:r>
    </w:p>
    <w:p>
      <w:r>
        <w:rPr>
          <w:rFonts w:hint="eastAsia"/>
        </w:rPr>
        <w:t>简述管理信息供应链的范围和挑战。</w:t>
      </w:r>
    </w:p>
    <w:p>
      <w:r>
        <w:rPr>
          <w:rFonts w:hint="eastAsia"/>
        </w:rPr>
        <w:t>答：以零售和消费品行业为例：</w:t>
      </w:r>
    </w:p>
    <w:p>
      <w:r>
        <w:rPr>
          <w:rFonts w:hint="eastAsia"/>
        </w:rPr>
        <w:t>范围：存在两种不同类型的信息共享和协调问题：</w:t>
      </w:r>
    </w:p>
    <w:p>
      <w:r>
        <w:rPr>
          <w:rFonts w:hint="eastAsia"/>
        </w:rPr>
        <w:t>（</w:t>
      </w:r>
      <w:r>
        <w:t>1）协调实体需求和供应链的交易信息流（需求信号、预测、订单、运输、通知或发票）;</w:t>
      </w:r>
    </w:p>
    <w:p>
      <w:r>
        <w:rPr>
          <w:rFonts w:hint="eastAsia"/>
        </w:rPr>
        <w:t>（</w:t>
      </w:r>
      <w:r>
        <w:t>2）确保零售商和制造商以相同方式解读数据的情境信息流</w:t>
      </w:r>
    </w:p>
    <w:p>
      <w:r>
        <w:rPr>
          <w:rFonts w:hint="eastAsia"/>
        </w:rPr>
        <w:t>供应链中需要解决的一个典型的问题是：“牛鞭效应”或信息不对称，导致供应链需求信号放大和库存水平波动。</w:t>
      </w:r>
    </w:p>
    <w:p>
      <w:r>
        <w:rPr>
          <w:rFonts w:hint="eastAsia"/>
        </w:rPr>
        <w:t>挑战：</w:t>
      </w:r>
    </w:p>
    <w:p>
      <w:r>
        <w:rPr>
          <w:rFonts w:hint="eastAsia"/>
        </w:rPr>
        <w:t>（1）技术方面：缺乏标准、专业知识或实施成本。</w:t>
      </w:r>
    </w:p>
    <w:p>
      <w:r>
        <w:rPr>
          <w:rFonts w:hint="eastAsia"/>
        </w:rPr>
        <w:t>（2）组织方面：供应链合作伙伴的信任水平、由于信息保密可能带来的竞争优势等。</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【价值流分析理论】</w:t>
      </w:r>
    </w:p>
    <w:p>
      <w:r>
        <w:rPr>
          <w:rFonts w:hint="eastAsia"/>
        </w:rPr>
        <w:t>沃马克和琼斯提出了价值流分析理论，探讨了如何使整个生产和交付过程更有效率。</w:t>
      </w:r>
      <w:r>
        <w:t xml:space="preserve"> 该理论建议公司应该通过价值流图来记录开发新产品和向客户提供产品或服务时发生的每一项活动，然后将其分类为：</w:t>
      </w:r>
    </w:p>
    <w:p>
      <w:r>
        <w:rPr>
          <w:rFonts w:hint="eastAsia"/>
        </w:rPr>
        <w:t>（</w:t>
      </w:r>
      <w:r>
        <w:t>1</w:t>
      </w:r>
      <w:r>
        <w:rPr>
          <w:rFonts w:hint="eastAsia"/>
        </w:rPr>
        <w:t>）</w:t>
      </w:r>
      <w:r>
        <w:t>创造能被客户感知到的价值的活动。</w:t>
      </w:r>
    </w:p>
    <w:p>
      <w:r>
        <w:rPr>
          <w:rFonts w:hint="eastAsia"/>
        </w:rPr>
        <w:t>（2）</w:t>
      </w:r>
      <w:r>
        <w:t xml:space="preserve">虽不能创造价值，但是产品开发或生产系统不可缺少，因此不能立即消除的活动。 </w:t>
      </w:r>
    </w:p>
    <w:p>
      <w:r>
        <w:rPr>
          <w:rFonts w:hint="eastAsia"/>
        </w:rPr>
        <w:t>（3）</w:t>
      </w:r>
      <w:r>
        <w:t>那些不创造价值，可以被立即消除的活动。</w:t>
      </w:r>
    </w:p>
    <w:p>
      <w:pPr>
        <w:rPr>
          <w:rFonts w:hint="eastAsia"/>
        </w:rPr>
      </w:pPr>
      <w:r>
        <w:rPr>
          <w:rFonts w:hint="eastAsia"/>
        </w:rPr>
        <w:t>完成上述分析后，可以采取的措施是：</w:t>
      </w:r>
    </w:p>
    <w:p>
      <w:pPr>
        <w:rPr>
          <w:rFonts w:hint="eastAsia"/>
        </w:rPr>
      </w:pPr>
      <w:r>
        <w:rPr>
          <w:rFonts w:hint="eastAsia"/>
        </w:rPr>
        <w:t>去除第</w:t>
      </w:r>
      <w:r>
        <w:t>3类活动</w:t>
      </w:r>
      <w:r>
        <w:rPr>
          <w:rFonts w:hint="eastAsia"/>
        </w:rPr>
        <w:t>；</w:t>
      </w:r>
    </w:p>
    <w:p>
      <w:pPr>
        <w:rPr>
          <w:rFonts w:hint="eastAsia"/>
        </w:rPr>
      </w:pPr>
      <w:r>
        <w:rPr>
          <w:rFonts w:hint="eastAsia"/>
        </w:rPr>
        <w:t>削减第</w:t>
      </w:r>
      <w:r>
        <w:t>2类活动</w:t>
      </w:r>
      <w:r>
        <w:rPr>
          <w:rFonts w:hint="eastAsia"/>
        </w:rPr>
        <w:t>；</w:t>
      </w:r>
    </w:p>
    <w:p>
      <w:r>
        <w:rPr>
          <w:rFonts w:hint="eastAsia"/>
        </w:rPr>
        <w:t>优化第</w:t>
      </w:r>
      <w:r>
        <w:t>1类活动</w:t>
      </w:r>
    </w:p>
    <w:p>
      <w:r>
        <w:drawing>
          <wp:inline distT="0" distB="0" distL="114300" distR="114300">
            <wp:extent cx="5271770" cy="390588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3905885"/>
                    </a:xfrm>
                    <a:prstGeom prst="rect">
                      <a:avLst/>
                    </a:prstGeom>
                    <a:noFill/>
                    <a:ln w="9525">
                      <a:noFill/>
                    </a:ln>
                  </pic:spPr>
                </pic:pic>
              </a:graphicData>
            </a:graphic>
          </wp:inline>
        </w:drawing>
      </w:r>
    </w:p>
    <w:p>
      <w:r>
        <w:drawing>
          <wp:inline distT="0" distB="0" distL="114300" distR="114300">
            <wp:extent cx="5269230" cy="38207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3820795"/>
                    </a:xfrm>
                    <a:prstGeom prst="rect">
                      <a:avLst/>
                    </a:prstGeom>
                    <a:noFill/>
                    <a:ln w="9525">
                      <a:noFill/>
                    </a:ln>
                  </pic:spPr>
                </pic:pic>
              </a:graphicData>
            </a:graphic>
          </wp:inline>
        </w:drawing>
      </w: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89BCCC"/>
    <w:multiLevelType w:val="singleLevel"/>
    <w:tmpl w:val="BB89BCC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7F6D"/>
    <w:rsid w:val="01D07C03"/>
    <w:rsid w:val="01EF072C"/>
    <w:rsid w:val="022858AF"/>
    <w:rsid w:val="02646E68"/>
    <w:rsid w:val="064A21A3"/>
    <w:rsid w:val="08AA52C3"/>
    <w:rsid w:val="0B211997"/>
    <w:rsid w:val="0D0C7EC3"/>
    <w:rsid w:val="0D5147C3"/>
    <w:rsid w:val="0DC0262B"/>
    <w:rsid w:val="0F9C22E9"/>
    <w:rsid w:val="0FD63ECD"/>
    <w:rsid w:val="0FEF4B1D"/>
    <w:rsid w:val="11CE6C73"/>
    <w:rsid w:val="133746FC"/>
    <w:rsid w:val="136E0532"/>
    <w:rsid w:val="157204A6"/>
    <w:rsid w:val="158554E4"/>
    <w:rsid w:val="1679597A"/>
    <w:rsid w:val="16820B5C"/>
    <w:rsid w:val="176D4BA8"/>
    <w:rsid w:val="190D220B"/>
    <w:rsid w:val="19597B56"/>
    <w:rsid w:val="1C4878B0"/>
    <w:rsid w:val="1C573B5E"/>
    <w:rsid w:val="1CF067C4"/>
    <w:rsid w:val="1D585B91"/>
    <w:rsid w:val="1DF80D7A"/>
    <w:rsid w:val="1E1E0280"/>
    <w:rsid w:val="1EF935C0"/>
    <w:rsid w:val="1F1B38F1"/>
    <w:rsid w:val="1FB83D5B"/>
    <w:rsid w:val="20FA1CAB"/>
    <w:rsid w:val="22D1018E"/>
    <w:rsid w:val="2460154E"/>
    <w:rsid w:val="267861E0"/>
    <w:rsid w:val="26EB5F63"/>
    <w:rsid w:val="27BF641E"/>
    <w:rsid w:val="283734B9"/>
    <w:rsid w:val="28D974E6"/>
    <w:rsid w:val="28FB041F"/>
    <w:rsid w:val="2AB27EA1"/>
    <w:rsid w:val="2C0122AA"/>
    <w:rsid w:val="2C5234A1"/>
    <w:rsid w:val="2DBA2878"/>
    <w:rsid w:val="30BA72F8"/>
    <w:rsid w:val="32AE3CF2"/>
    <w:rsid w:val="331328A0"/>
    <w:rsid w:val="334F4DFE"/>
    <w:rsid w:val="335120BA"/>
    <w:rsid w:val="343E476D"/>
    <w:rsid w:val="344D778E"/>
    <w:rsid w:val="35005CF7"/>
    <w:rsid w:val="362A4367"/>
    <w:rsid w:val="377D3132"/>
    <w:rsid w:val="37D56013"/>
    <w:rsid w:val="3C2D32B9"/>
    <w:rsid w:val="3C360976"/>
    <w:rsid w:val="3EDB563D"/>
    <w:rsid w:val="3F2F7AD1"/>
    <w:rsid w:val="3FE67CD5"/>
    <w:rsid w:val="44CC5F87"/>
    <w:rsid w:val="46823218"/>
    <w:rsid w:val="46FB1DFE"/>
    <w:rsid w:val="472C0E41"/>
    <w:rsid w:val="47A67A2E"/>
    <w:rsid w:val="47C76DC2"/>
    <w:rsid w:val="47FE0AF2"/>
    <w:rsid w:val="4B9270DC"/>
    <w:rsid w:val="4C465142"/>
    <w:rsid w:val="4E2149EA"/>
    <w:rsid w:val="4F10799E"/>
    <w:rsid w:val="514654D8"/>
    <w:rsid w:val="52FE2A64"/>
    <w:rsid w:val="555C2A4C"/>
    <w:rsid w:val="57A7115F"/>
    <w:rsid w:val="5DA60762"/>
    <w:rsid w:val="5EA73446"/>
    <w:rsid w:val="5EED49A3"/>
    <w:rsid w:val="5FCE1901"/>
    <w:rsid w:val="63A119C2"/>
    <w:rsid w:val="643F1D0A"/>
    <w:rsid w:val="655B43FE"/>
    <w:rsid w:val="66B0630B"/>
    <w:rsid w:val="67D12352"/>
    <w:rsid w:val="68D20E64"/>
    <w:rsid w:val="68EC0661"/>
    <w:rsid w:val="6AC31D4A"/>
    <w:rsid w:val="6AF27655"/>
    <w:rsid w:val="6B6E216D"/>
    <w:rsid w:val="6BA52B42"/>
    <w:rsid w:val="6CC15EEF"/>
    <w:rsid w:val="6D4B72C0"/>
    <w:rsid w:val="6FF250F3"/>
    <w:rsid w:val="704E7A14"/>
    <w:rsid w:val="70816B0C"/>
    <w:rsid w:val="71D56260"/>
    <w:rsid w:val="7496332B"/>
    <w:rsid w:val="759949DF"/>
    <w:rsid w:val="75B6001D"/>
    <w:rsid w:val="763C31C9"/>
    <w:rsid w:val="764F33AA"/>
    <w:rsid w:val="76B54D1F"/>
    <w:rsid w:val="77C446F7"/>
    <w:rsid w:val="78201EE4"/>
    <w:rsid w:val="78917174"/>
    <w:rsid w:val="7941663A"/>
    <w:rsid w:val="7A2951FE"/>
    <w:rsid w:val="7D892FA0"/>
    <w:rsid w:val="7FA61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2018-07-08T13:17:55Z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