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t xml:space="preserve"/>
        <w:drawing>
          <wp:inline xmlns:a="http://schemas.openxmlformats.org/drawingml/2006/main" xmlns:pic="http://schemas.openxmlformats.org/drawingml/2006/picture">
            <wp:extent cx="1024128" cy="1024128"/>
            <wp:docPr id="8" name="Picture 8"/>
            <wp:cNvGraphicFramePr>
              <a:graphicFrameLocks noChangeAspect="1"/>
            </wp:cNvGraphicFramePr>
            <a:graphic>
              <a:graphicData uri="http://schemas.openxmlformats.org/drawingml/2006/picture">
                <pic:pic>
                  <pic:nvPicPr>
                    <pic:cNvPr id="0" name="1000355559.jpg"/>
                    <pic:cNvPicPr/>
                  </pic:nvPicPr>
                  <pic:blipFill>
                    <a:blip r:embed="rId18"/>
                    <a:stretch>
                      <a:fillRect/>
                    </a:stretch>
                  </pic:blipFill>
                  <pic:spPr>
                    <a:xfrm>
                      <a:off x="0" y="0"/>
                      <a:ext cx="1024128" cy="1024128"/>
                    </a:xfrm>
                    <a:prstGeom prst="rect"/>
                  </pic:spPr>
                </pic:pic>
              </a:graphicData>
            </a:graphic>
          </wp:inline>
        </w:drawing>
      </w:r>
    </w:p>
    <w:p/>
    <w:p/>
    <w:p/>
    <w:p>
      <w:pPr>
        <w:ind w:firstLine="0"/>
        <w:jc w:val="center"/>
      </w:pPr>
      <w:r>
        <w:rPr>
          <w:rFonts w:ascii="Times New Roman" w:hAnsi="Times New Roman"/>
          <w:b/>
          <w:sz w:val="28"/>
        </w:rPr>
        <w:t>UNIVERSIDAD NACIONAL PEDRO HENRÍQUEZ UREÑA</w:t>
      </w:r>
    </w:p>
    <w:p>
      <w:pPr>
        <w:ind w:firstLine="0"/>
        <w:jc w:val="center"/>
      </w:pPr>
      <w:r>
        <w:rPr>
          <w:rFonts w:ascii="Times New Roman" w:hAnsi="Times New Roman"/>
          <w:b/>
          <w:sz w:val="26"/>
        </w:rPr>
        <w:t>INGENIERÍA DE SOFTWARE I (INF-272)</w:t>
      </w:r>
    </w:p>
    <w:p/>
    <w:p/>
    <w:p>
      <w:pPr>
        <w:ind w:firstLine="0"/>
        <w:jc w:val="center"/>
      </w:pPr>
      <w:r>
        <w:rPr>
          <w:rFonts w:ascii="Times New Roman" w:hAnsi="Times New Roman"/>
          <w:b/>
          <w:color w:val="261A3B"/>
          <w:sz w:val="36"/>
        </w:rPr>
        <w:t>AETHER 2.0</w:t>
      </w:r>
    </w:p>
    <w:p>
      <w:pPr>
        <w:ind w:firstLine="0"/>
        <w:jc w:val="center"/>
      </w:pPr>
      <w:r>
        <w:rPr>
          <w:rFonts w:ascii="Times New Roman" w:hAnsi="Times New Roman"/>
          <w:b/>
          <w:color w:val="694B92"/>
          <w:sz w:val="32"/>
        </w:rPr>
        <w:t>Manual de usuario</w:t>
      </w:r>
    </w:p>
    <w:p>
      <w:pPr>
        <w:ind w:firstLine="0"/>
        <w:jc w:val="center"/>
      </w:pPr>
      <w:r>
        <w:rPr>
          <w:rFonts w:ascii="Times New Roman" w:hAnsi="Times New Roman"/>
          <w:sz w:val="26"/>
        </w:rPr>
        <w:t>Requisitos previos, instalación y guía de uso</w:t>
      </w:r>
    </w:p>
    <w:p/>
    <w:p/>
    <w:p/>
    <w:p/>
    <w:p>
      <w:pPr>
        <w:ind w:firstLine="0"/>
        <w:jc w:val="center"/>
      </w:pPr>
      <w:r>
        <w:rPr>
          <w:rFonts w:ascii="Times New Roman" w:hAnsi="Times New Roman"/>
          <w:sz w:val="24"/>
        </w:rPr>
        <w:t>Entregable #6 - Documentación y Empaquetado</w:t>
      </w:r>
    </w:p>
    <w:p>
      <w:pPr>
        <w:ind w:firstLine="0"/>
        <w:jc w:val="center"/>
      </w:pPr>
      <w:r>
        <w:rPr>
          <w:rFonts w:ascii="Times New Roman" w:hAnsi="Times New Roman"/>
          <w:sz w:val="24"/>
        </w:rPr>
        <w:t>Equipo AETHER</w:t>
      </w:r>
    </w:p>
    <w:p>
      <w:pPr>
        <w:ind w:firstLine="0"/>
        <w:jc w:val="center"/>
      </w:pPr>
      <w:r>
        <w:rPr>
          <w:rFonts w:ascii="Times New Roman" w:hAnsi="Times New Roman"/>
          <w:sz w:val="24"/>
        </w:rPr>
        <w:t>Agosto de 2026</w:t>
      </w:r>
    </w:p>
    <w:p>
      <w:r>
        <w:rPr>
          <w:rFonts w:ascii="Times New Roman" w:hAnsi="Times New Roman"/>
          <w:sz w:val="24"/>
        </w:rPr>
        <w:br w:type="page"/>
      </w:r>
    </w:p>
    <w:p>
      <w:pPr>
        <w:pStyle w:val="Heading1"/>
        <w:ind w:firstLine="0"/>
        <w:jc w:val="center"/>
      </w:pPr>
      <w:r>
        <w:rPr>
          <w:rFonts w:ascii="Times New Roman" w:hAnsi="Times New Roman"/>
          <w:color w:val="694B92"/>
          <w:sz w:val="24"/>
        </w:rPr>
        <w:t>Tabla de contenido</w:t>
      </w:r>
    </w:p>
    <w:p>
      <w:pPr>
        <w:tabs>
          <w:tab w:pos="9072" w:val="right" w:leader="dot"/>
        </w:tabs>
        <w:spacing w:line="276" w:lineRule="auto" w:after="40"/>
        <w:ind w:firstLine="0" w:left="0"/>
      </w:pPr>
      <w:r>
        <w:rPr>
          <w:rFonts w:ascii="Times New Roman" w:hAnsi="Times New Roman"/>
          <w:sz w:val="24"/>
        </w:rPr>
        <w:t>1. Requisitos previos</w:t>
      </w:r>
      <w:r>
        <w:rPr>
          <w:rFonts w:ascii="Times New Roman" w:hAnsi="Times New Roman"/>
          <w:sz w:val="24"/>
        </w:rPr>
        <w:tab/>
        <w:t>3</w:t>
      </w:r>
    </w:p>
    <w:p>
      <w:pPr>
        <w:tabs>
          <w:tab w:pos="9072" w:val="right" w:leader="dot"/>
        </w:tabs>
        <w:spacing w:line="276" w:lineRule="auto" w:after="40"/>
        <w:ind w:firstLine="0" w:left="432"/>
      </w:pPr>
      <w:r>
        <w:rPr>
          <w:rFonts w:ascii="Times New Roman" w:hAnsi="Times New Roman"/>
          <w:sz w:val="24"/>
        </w:rPr>
        <w:t>1.1 Java (JDK)</w:t>
      </w:r>
      <w:r>
        <w:rPr>
          <w:rFonts w:ascii="Times New Roman" w:hAnsi="Times New Roman"/>
          <w:sz w:val="24"/>
        </w:rPr>
        <w:tab/>
        <w:t>3</w:t>
      </w:r>
    </w:p>
    <w:p>
      <w:pPr>
        <w:tabs>
          <w:tab w:pos="9072" w:val="right" w:leader="dot"/>
        </w:tabs>
        <w:spacing w:line="276" w:lineRule="auto" w:after="40"/>
        <w:ind w:firstLine="0" w:left="432"/>
      </w:pPr>
      <w:r>
        <w:rPr>
          <w:rFonts w:ascii="Times New Roman" w:hAnsi="Times New Roman"/>
          <w:sz w:val="24"/>
        </w:rPr>
        <w:t>1.2 Sistemas operativos soportados</w:t>
      </w:r>
      <w:r>
        <w:rPr>
          <w:rFonts w:ascii="Times New Roman" w:hAnsi="Times New Roman"/>
          <w:sz w:val="24"/>
        </w:rPr>
        <w:tab/>
        <w:t>3</w:t>
      </w:r>
    </w:p>
    <w:p>
      <w:pPr>
        <w:tabs>
          <w:tab w:pos="9072" w:val="right" w:leader="dot"/>
        </w:tabs>
        <w:spacing w:line="276" w:lineRule="auto" w:after="40"/>
        <w:ind w:firstLine="0" w:left="432"/>
      </w:pPr>
      <w:r>
        <w:rPr>
          <w:rFonts w:ascii="Times New Roman" w:hAnsi="Times New Roman"/>
          <w:sz w:val="24"/>
        </w:rPr>
        <w:t>1.3 Espacio en disco y otros</w:t>
      </w:r>
      <w:r>
        <w:rPr>
          <w:rFonts w:ascii="Times New Roman" w:hAnsi="Times New Roman"/>
          <w:sz w:val="24"/>
        </w:rPr>
        <w:tab/>
        <w:t>4</w:t>
      </w:r>
    </w:p>
    <w:p>
      <w:pPr>
        <w:tabs>
          <w:tab w:pos="9072" w:val="right" w:leader="dot"/>
        </w:tabs>
        <w:spacing w:line="276" w:lineRule="auto" w:after="40"/>
        <w:ind w:firstLine="0" w:left="432"/>
      </w:pPr>
      <w:r>
        <w:rPr>
          <w:rFonts w:ascii="Times New Roman" w:hAnsi="Times New Roman"/>
          <w:sz w:val="24"/>
        </w:rPr>
        <w:t>1.4 Instalación sin compilar desde el código fuente</w:t>
      </w:r>
      <w:r>
        <w:rPr>
          <w:rFonts w:ascii="Times New Roman" w:hAnsi="Times New Roman"/>
          <w:sz w:val="24"/>
        </w:rPr>
        <w:tab/>
        <w:t>4</w:t>
      </w:r>
    </w:p>
    <w:p>
      <w:pPr>
        <w:tabs>
          <w:tab w:pos="9072" w:val="right" w:leader="dot"/>
        </w:tabs>
        <w:spacing w:line="276" w:lineRule="auto" w:after="40"/>
        <w:ind w:firstLine="0" w:left="432"/>
      </w:pPr>
      <w:r>
        <w:rPr>
          <w:rFonts w:ascii="Times New Roman" w:hAnsi="Times New Roman"/>
          <w:sz w:val="24"/>
        </w:rPr>
        <w:t>1.5 Ejecución del paquete</w:t>
      </w:r>
      <w:r>
        <w:rPr>
          <w:rFonts w:ascii="Times New Roman" w:hAnsi="Times New Roman"/>
          <w:sz w:val="24"/>
        </w:rPr>
        <w:tab/>
        <w:t>5</w:t>
      </w:r>
    </w:p>
    <w:p>
      <w:pPr>
        <w:tabs>
          <w:tab w:pos="9072" w:val="right" w:leader="dot"/>
        </w:tabs>
        <w:spacing w:line="276" w:lineRule="auto" w:after="40"/>
        <w:ind w:firstLine="0" w:left="432"/>
      </w:pPr>
      <w:r>
        <w:rPr>
          <w:rFonts w:ascii="Times New Roman" w:hAnsi="Times New Roman"/>
          <w:sz w:val="24"/>
        </w:rPr>
        <w:t>1.6 Verificación rápida del paquete</w:t>
      </w:r>
      <w:r>
        <w:rPr>
          <w:rFonts w:ascii="Times New Roman" w:hAnsi="Times New Roman"/>
          <w:sz w:val="24"/>
        </w:rPr>
        <w:tab/>
        <w:t>5</w:t>
      </w:r>
    </w:p>
    <w:p>
      <w:pPr>
        <w:tabs>
          <w:tab w:pos="9072" w:val="right" w:leader="dot"/>
        </w:tabs>
        <w:spacing w:line="276" w:lineRule="auto" w:after="40"/>
        <w:ind w:firstLine="0" w:left="432"/>
      </w:pPr>
      <w:r>
        <w:rPr>
          <w:rFonts w:ascii="Times New Roman" w:hAnsi="Times New Roman"/>
          <w:sz w:val="24"/>
        </w:rPr>
        <w:t>1.7 Qué hacen los scripts internamente</w:t>
      </w:r>
      <w:r>
        <w:rPr>
          <w:rFonts w:ascii="Times New Roman" w:hAnsi="Times New Roman"/>
          <w:sz w:val="24"/>
        </w:rPr>
        <w:tab/>
        <w:t>5</w:t>
      </w:r>
    </w:p>
    <w:p>
      <w:pPr>
        <w:tabs>
          <w:tab w:pos="9072" w:val="right" w:leader="dot"/>
        </w:tabs>
        <w:spacing w:line="276" w:lineRule="auto" w:after="40"/>
        <w:ind w:firstLine="0" w:left="0"/>
      </w:pPr>
      <w:r>
        <w:rPr>
          <w:rFonts w:ascii="Times New Roman" w:hAnsi="Times New Roman"/>
          <w:sz w:val="24"/>
        </w:rPr>
        <w:t>2. Guía de uso paso a paso</w:t>
      </w:r>
      <w:r>
        <w:rPr>
          <w:rFonts w:ascii="Times New Roman" w:hAnsi="Times New Roman"/>
          <w:sz w:val="24"/>
        </w:rPr>
        <w:tab/>
        <w:t>6</w:t>
      </w:r>
    </w:p>
    <w:p>
      <w:pPr>
        <w:tabs>
          <w:tab w:pos="9072" w:val="right" w:leader="dot"/>
        </w:tabs>
        <w:spacing w:line="276" w:lineRule="auto" w:after="40"/>
        <w:ind w:firstLine="0" w:left="432"/>
      </w:pPr>
      <w:r>
        <w:rPr>
          <w:rFonts w:ascii="Times New Roman" w:hAnsi="Times New Roman"/>
          <w:sz w:val="24"/>
        </w:rPr>
        <w:t>2.1 Lanzamiento de la aplicación</w:t>
      </w:r>
      <w:r>
        <w:rPr>
          <w:rFonts w:ascii="Times New Roman" w:hAnsi="Times New Roman"/>
          <w:sz w:val="24"/>
        </w:rPr>
        <w:tab/>
        <w:t>6</w:t>
      </w:r>
    </w:p>
    <w:p>
      <w:pPr>
        <w:tabs>
          <w:tab w:pos="9072" w:val="right" w:leader="dot"/>
        </w:tabs>
        <w:spacing w:line="276" w:lineRule="auto" w:after="40"/>
        <w:ind w:firstLine="0" w:left="432"/>
      </w:pPr>
      <w:r>
        <w:rPr>
          <w:rFonts w:ascii="Times New Roman" w:hAnsi="Times New Roman"/>
          <w:sz w:val="24"/>
        </w:rPr>
        <w:t>2.2 Inicio de sesión</w:t>
      </w:r>
      <w:r>
        <w:rPr>
          <w:rFonts w:ascii="Times New Roman" w:hAnsi="Times New Roman"/>
          <w:sz w:val="24"/>
        </w:rPr>
        <w:tab/>
        <w:t>6</w:t>
      </w:r>
    </w:p>
    <w:p>
      <w:pPr>
        <w:tabs>
          <w:tab w:pos="9072" w:val="right" w:leader="dot"/>
        </w:tabs>
        <w:spacing w:line="276" w:lineRule="auto" w:after="40"/>
        <w:ind w:firstLine="0" w:left="432"/>
      </w:pPr>
      <w:r>
        <w:rPr>
          <w:rFonts w:ascii="Times New Roman" w:hAnsi="Times New Roman"/>
          <w:sz w:val="24"/>
        </w:rPr>
        <w:t>2.3 Formulario de entrada de parámetros</w:t>
      </w:r>
      <w:r>
        <w:rPr>
          <w:rFonts w:ascii="Times New Roman" w:hAnsi="Times New Roman"/>
          <w:sz w:val="24"/>
        </w:rPr>
        <w:tab/>
        <w:t>7</w:t>
      </w:r>
    </w:p>
    <w:p>
      <w:pPr>
        <w:tabs>
          <w:tab w:pos="9072" w:val="right" w:leader="dot"/>
        </w:tabs>
        <w:spacing w:line="276" w:lineRule="auto" w:after="40"/>
        <w:ind w:firstLine="0" w:left="432"/>
      </w:pPr>
      <w:r>
        <w:rPr>
          <w:rFonts w:ascii="Times New Roman" w:hAnsi="Times New Roman"/>
          <w:sz w:val="24"/>
        </w:rPr>
        <w:t>2.4 Ejecución de la misión</w:t>
      </w:r>
      <w:r>
        <w:rPr>
          <w:rFonts w:ascii="Times New Roman" w:hAnsi="Times New Roman"/>
          <w:sz w:val="24"/>
        </w:rPr>
        <w:tab/>
        <w:t>8</w:t>
      </w:r>
    </w:p>
    <w:p>
      <w:pPr>
        <w:tabs>
          <w:tab w:pos="9072" w:val="right" w:leader="dot"/>
        </w:tabs>
        <w:spacing w:line="276" w:lineRule="auto" w:after="40"/>
        <w:ind w:firstLine="0" w:left="432"/>
      </w:pPr>
      <w:r>
        <w:rPr>
          <w:rFonts w:ascii="Times New Roman" w:hAnsi="Times New Roman"/>
          <w:sz w:val="24"/>
        </w:rPr>
        <w:t>2.5 Controles de la simulación</w:t>
      </w:r>
      <w:r>
        <w:rPr>
          <w:rFonts w:ascii="Times New Roman" w:hAnsi="Times New Roman"/>
          <w:sz w:val="24"/>
        </w:rPr>
        <w:tab/>
        <w:t>9</w:t>
      </w:r>
    </w:p>
    <w:p>
      <w:pPr>
        <w:tabs>
          <w:tab w:pos="9072" w:val="right" w:leader="dot"/>
        </w:tabs>
        <w:spacing w:line="276" w:lineRule="auto" w:after="40"/>
        <w:ind w:firstLine="0" w:left="432"/>
      </w:pPr>
      <w:r>
        <w:rPr>
          <w:rFonts w:ascii="Times New Roman" w:hAnsi="Times New Roman"/>
          <w:sz w:val="24"/>
        </w:rPr>
        <w:t>2.6 Lectura del panel de telemetría</w:t>
      </w:r>
      <w:r>
        <w:rPr>
          <w:rFonts w:ascii="Times New Roman" w:hAnsi="Times New Roman"/>
          <w:sz w:val="24"/>
        </w:rPr>
        <w:tab/>
        <w:t>10</w:t>
      </w:r>
    </w:p>
    <w:p>
      <w:pPr>
        <w:tabs>
          <w:tab w:pos="9072" w:val="right" w:leader="dot"/>
        </w:tabs>
        <w:spacing w:line="276" w:lineRule="auto" w:after="40"/>
        <w:ind w:firstLine="0" w:left="0"/>
      </w:pPr>
      <w:r>
        <w:rPr>
          <w:rFonts w:ascii="Times New Roman" w:hAnsi="Times New Roman"/>
          <w:sz w:val="24"/>
        </w:rPr>
        <w:t>3. Parámetros de referencia</w:t>
      </w:r>
      <w:r>
        <w:rPr>
          <w:rFonts w:ascii="Times New Roman" w:hAnsi="Times New Roman"/>
          <w:sz w:val="24"/>
        </w:rPr>
        <w:tab/>
        <w:t>11</w:t>
      </w:r>
    </w:p>
    <w:p>
      <w:pPr>
        <w:tabs>
          <w:tab w:pos="9072" w:val="right" w:leader="dot"/>
        </w:tabs>
        <w:spacing w:line="276" w:lineRule="auto" w:after="40"/>
        <w:ind w:firstLine="0" w:left="0"/>
      </w:pPr>
      <w:r>
        <w:rPr>
          <w:rFonts w:ascii="Times New Roman" w:hAnsi="Times New Roman"/>
          <w:sz w:val="24"/>
        </w:rPr>
        <w:t>4. Limitaciones conocidas</w:t>
      </w:r>
      <w:r>
        <w:rPr>
          <w:rFonts w:ascii="Times New Roman" w:hAnsi="Times New Roman"/>
          <w:sz w:val="24"/>
        </w:rPr>
        <w:tab/>
        <w:t>12</w:t>
      </w:r>
    </w:p>
    <w:p>
      <w:r>
        <w:rPr>
          <w:rFonts w:ascii="Times New Roman" w:hAnsi="Times New Roman"/>
          <w:sz w:val="24"/>
        </w:rPr>
        <w:br w:type="page"/>
      </w:r>
    </w:p>
    <w:p>
      <w:pPr>
        <w:pStyle w:val="Heading1"/>
      </w:pPr>
      <w:r>
        <w:rPr>
          <w:rFonts w:ascii="Times New Roman" w:hAnsi="Times New Roman"/>
          <w:color w:val="694B92"/>
          <w:sz w:val="24"/>
        </w:rPr>
        <w:t>1. Requisitos previos</w:t>
      </w:r>
    </w:p>
    <w:p>
      <w:pPr>
        <w:ind w:firstLine="0"/>
      </w:pPr>
      <w:r>
        <w:rPr>
          <w:rFonts w:ascii="Times New Roman" w:hAnsi="Times New Roman"/>
          <w:sz w:val="24"/>
        </w:rPr>
        <w:t>Antes de ejecutar AETHER 2.0, verifique que el equipo cumpla con los requisitos indicados en esta sección. El paquete de despliegue se entrega ya compilado, por lo que no es necesario utilizar Maven, IntelliJ ni el código fuente para iniciar la aplicación.</w:t>
      </w:r>
    </w:p>
    <w:p>
      <w:pPr>
        <w:pStyle w:val="Heading2"/>
      </w:pPr>
      <w:r>
        <w:rPr>
          <w:rFonts w:ascii="Times New Roman" w:hAnsi="Times New Roman"/>
          <w:color w:val="694B92"/>
          <w:sz w:val="24"/>
        </w:rPr>
        <w:t>1.1 Java (JDK)</w:t>
      </w:r>
    </w:p>
    <w:p>
      <w:pPr>
        <w:pStyle w:val="ListParagraph"/>
        <w:ind w:left="432" w:hanging="259"/>
      </w:pPr>
      <w:r>
        <w:rPr>
          <w:rFonts w:ascii="Times New Roman" w:hAnsi="Times New Roman"/>
          <w:sz w:val="24"/>
        </w:rPr>
        <w:t>• JDK 17 o una versión posterior, disponible en el PATH del sistema.</w:t>
      </w:r>
    </w:p>
    <w:p>
      <w:pPr>
        <w:pStyle w:val="ListParagraph"/>
        <w:ind w:left="432" w:hanging="259"/>
      </w:pPr>
      <w:r>
        <w:rPr>
          <w:rFonts w:ascii="Times New Roman" w:hAnsi="Times New Roman"/>
          <w:sz w:val="24"/>
        </w:rPr>
        <w:t>• No se requiere Maven, IntelliJ ni el código fuente del proyecto: el paquete de despliegue incluye el JAR con sus dependencias empaquetadas.</w:t>
      </w:r>
    </w:p>
    <w:p>
      <w:pPr>
        <w:ind w:firstLine="0"/>
      </w:pPr>
      <w:r>
        <w:rPr>
          <w:rFonts w:ascii="Times New Roman" w:hAnsi="Times New Roman"/>
          <w:sz w:val="24"/>
        </w:rPr>
        <w:t>Verificación:</w:t>
      </w:r>
    </w:p>
    <w:p>
      <w:pPr>
        <w:pStyle w:val="Código"/>
      </w:pPr>
      <w:r>
        <w:rPr>
          <w:rFonts w:ascii="Courier New" w:hAnsi="Courier New"/>
          <w:sz w:val="20"/>
        </w:rPr>
        <w:t>java -version</w:t>
      </w:r>
    </w:p>
    <w:p>
      <w:pPr>
        <w:ind w:firstLine="0"/>
      </w:pPr>
      <w:r>
        <w:rPr>
          <w:rFonts w:ascii="Times New Roman" w:hAnsi="Times New Roman"/>
          <w:sz w:val="24"/>
        </w:rPr>
        <w:t>El comando debe mostrar Java 17 o superior. Si no se reconoce, instale un JDK compatible y asegúrese de agregar Java al PATH del sistema.</w:t>
      </w:r>
    </w:p>
    <w:p>
      <w:pPr>
        <w:pStyle w:val="Heading2"/>
      </w:pPr>
      <w:r>
        <w:rPr>
          <w:rFonts w:ascii="Times New Roman" w:hAnsi="Times New Roman"/>
          <w:color w:val="694B92"/>
          <w:sz w:val="24"/>
        </w:rPr>
        <w:t>1.2 Sistemas operativos soportados</w:t>
      </w:r>
    </w:p>
    <w:p>
      <w:pPr>
        <w:ind w:firstLine="0"/>
      </w:pPr>
      <w:r>
        <w:rPr>
          <w:rFonts w:ascii="Times New Roman" w:hAnsi="Times New Roman"/>
          <w:sz w:val="24"/>
        </w:rPr>
        <w:t>El paquete de despliegue entregado está preparado y validado para Windows 10/11. Incluye un iniciador gráfico para Windows y un script de diagnóstico desde CMD o PowerShell. También se incluye run.sh para ejecutarlo desde una terminal compatible con sh, como Git Bash en Windows.</w:t>
      </w:r>
    </w:p>
    <w:p>
      <w:pPr>
        <w:ind w:firstLine="0"/>
      </w:pPr>
      <w:r>
        <w:rPr>
          <w:rFonts w:ascii="Times New Roman" w:hAnsi="Times New Roman"/>
          <w:sz w:val="24"/>
        </w:rPr>
        <w:t>Esta versión del paquete incorpora dependencias nativas de JavaFX para Windows; por ello, no se declara compatibilidad nativa con Linux o macOS en este entregable.</w:t>
      </w:r>
    </w:p>
    <w:tbl>
      <w:tblPr>
        <w:tblW w:type="auto" w:w="0"/>
        <w:jc w:val="center"/>
        <w:tblLayout w:type="fixed"/>
        <w:tblLook w:firstColumn="1" w:firstRow="1" w:lastColumn="0" w:lastRow="0" w:noHBand="0" w:noVBand="1" w:val="04A0"/>
        <w:tblBorders>
          <w:top w:val="single" w:sz="6" w:space="0" w:color="B9B2C2"/>
          <w:left w:val="single" w:sz="6" w:space="0" w:color="B9B2C2"/>
          <w:bottom w:val="single" w:sz="6" w:space="0" w:color="B9B2C2"/>
          <w:right w:val="single" w:sz="6" w:space="0" w:color="B9B2C2"/>
          <w:insideH w:val="single" w:sz="6" w:space="0" w:color="B9B2C2"/>
          <w:insideV w:val="single" w:sz="6" w:space="0" w:color="B9B2C2"/>
        </w:tblBorders>
      </w:tblPr>
      <w:tblGrid>
        <w:gridCol w:w="3120"/>
        <w:gridCol w:w="3120"/>
        <w:gridCol w:w="3120"/>
      </w:tblGrid>
      <w:tr>
        <w:trPr>
          <w:cantSplit/>
          <w:tblHeader w:val="true"/>
        </w:trPr>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21"/>
              </w:rPr>
              <w:t>Entorno</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21"/>
              </w:rPr>
              <w:t>Script de lanzamiento</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21"/>
              </w:rPr>
              <w:t>Uso</w:t>
            </w:r>
          </w:p>
        </w:tc>
      </w:tr>
      <w:tr>
        <w:trPr>
          <w:cantSplit/>
        </w:trPr>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1"/>
              </w:rPr>
              <w:t>Windows 10/11</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1"/>
              </w:rPr>
              <w:t>INICIAR-AETHER.cmd</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1"/>
              </w:rPr>
              <w:t>Inicio gráfico mediante doble clic.</w:t>
            </w:r>
          </w:p>
        </w:tc>
      </w:tr>
      <w:tr>
        <w:trPr>
          <w:cantSplit/>
        </w:trPr>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1"/>
              </w:rPr>
              <w:t>Windows 10/11</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1"/>
              </w:rPr>
              <w:t>run.bat</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1"/>
              </w:rPr>
              <w:t>Inicio desde CMD/PowerShell con mensajes de diagnóstico.</w:t>
            </w:r>
          </w:p>
        </w:tc>
      </w:tr>
      <w:tr>
        <w:trPr>
          <w:cantSplit/>
        </w:trPr>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1"/>
              </w:rPr>
              <w:t>Git Bash en Windows</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1"/>
              </w:rPr>
              <w:t>run.sh</w:t>
            </w:r>
          </w:p>
        </w:tc>
        <w:tc>
          <w:tcPr>
            <w:tcW w:type="dxa" w:w="312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1"/>
              </w:rPr>
              <w:t>Inicio desde una terminal compatible con sh.</w:t>
            </w:r>
          </w:p>
        </w:tc>
      </w:tr>
    </w:tbl>
    <w:p>
      <w:pPr>
        <w:pStyle w:val="Heading2"/>
      </w:pPr>
      <w:r>
        <w:rPr>
          <w:rFonts w:ascii="Times New Roman" w:hAnsi="Times New Roman"/>
          <w:color w:val="694B92"/>
          <w:sz w:val="24"/>
        </w:rPr>
        <w:t>1.3 Espacio en disco y otros</w:t>
      </w:r>
    </w:p>
    <w:p>
      <w:pPr>
        <w:pStyle w:val="ListParagraph"/>
        <w:ind w:left="432" w:hanging="259"/>
      </w:pPr>
      <w:r>
        <w:rPr>
          <w:rFonts w:ascii="Times New Roman" w:hAnsi="Times New Roman"/>
          <w:sz w:val="24"/>
        </w:rPr>
        <w:t>• El paquete completo ocupa aproximadamente 60 MB; se recomienda disponer de al menos 200 MB libres para la ejecución y los archivos generados.</w:t>
      </w:r>
    </w:p>
    <w:p>
      <w:pPr>
        <w:pStyle w:val="ListParagraph"/>
        <w:ind w:left="432" w:hanging="259"/>
      </w:pPr>
      <w:r>
        <w:rPr>
          <w:rFonts w:ascii="Times New Roman" w:hAnsi="Times New Roman"/>
          <w:sz w:val="24"/>
        </w:rPr>
        <w:t>• La conexión a MySQL es opcional para el arranque. Si el servidor configurado no está disponible, AETHER utiliza el comportamiento de respaldo implementado por el equipo durante la sesión.</w:t>
      </w:r>
    </w:p>
    <w:p>
      <w:pPr>
        <w:pStyle w:val="Heading2"/>
      </w:pPr>
      <w:r>
        <w:rPr>
          <w:rFonts w:ascii="Times New Roman" w:hAnsi="Times New Roman"/>
          <w:color w:val="694B92"/>
          <w:sz w:val="24"/>
        </w:rPr>
        <w:t>1.4 Instalación sin compilar desde el código fuente</w:t>
      </w:r>
    </w:p>
    <w:p>
      <w:pPr>
        <w:ind w:firstLine="0"/>
      </w:pPr>
      <w:r>
        <w:rPr>
          <w:rFonts w:ascii="Times New Roman" w:hAnsi="Times New Roman"/>
          <w:sz w:val="24"/>
        </w:rPr>
        <w:t>El paquete de despliegue ya viene compilado. La instalación consiste únicamente en descomprimirlo y mantener sus archivos juntos.</w:t>
      </w:r>
    </w:p>
    <w:p>
      <w:pPr>
        <w:pStyle w:val="ListParagraph"/>
        <w:ind w:left="432" w:hanging="317"/>
      </w:pPr>
      <w:r>
        <w:rPr>
          <w:rFonts w:ascii="Times New Roman" w:hAnsi="Times New Roman"/>
          <w:sz w:val="24"/>
        </w:rPr>
        <w:t>1. Descomprima Aether2.0-paquete-despliegue.zip en una carpeta con permisos de lectura y escritura.</w:t>
      </w:r>
    </w:p>
    <w:p>
      <w:pPr>
        <w:pStyle w:val="ListParagraph"/>
        <w:ind w:left="432" w:hanging="317"/>
      </w:pPr>
      <w:r>
        <w:rPr>
          <w:rFonts w:ascii="Times New Roman" w:hAnsi="Times New Roman"/>
          <w:sz w:val="24"/>
        </w:rPr>
        <w:t>2. Verifique que dentro de la carpeta Aether2.0 estén presentes los siguientes archivos:</w:t>
      </w:r>
    </w:p>
    <w:p>
      <w:pPr>
        <w:pStyle w:val="ListParagraph"/>
        <w:ind w:left="432" w:hanging="259"/>
      </w:pPr>
      <w:r>
        <w:rPr>
          <w:rFonts w:ascii="Times New Roman" w:hAnsi="Times New Roman"/>
          <w:sz w:val="24"/>
        </w:rPr>
        <w:t>• Aether2.0.jar</w:t>
      </w:r>
    </w:p>
    <w:p>
      <w:pPr>
        <w:pStyle w:val="ListParagraph"/>
        <w:ind w:left="432" w:hanging="259"/>
      </w:pPr>
      <w:r>
        <w:rPr>
          <w:rFonts w:ascii="Times New Roman" w:hAnsi="Times New Roman"/>
          <w:sz w:val="24"/>
        </w:rPr>
        <w:t>• orekit-data.zip</w:t>
      </w:r>
    </w:p>
    <w:p>
      <w:pPr>
        <w:pStyle w:val="ListParagraph"/>
        <w:ind w:left="432" w:hanging="259"/>
      </w:pPr>
      <w:r>
        <w:rPr>
          <w:rFonts w:ascii="Times New Roman" w:hAnsi="Times New Roman"/>
          <w:sz w:val="24"/>
        </w:rPr>
        <w:t>• INICIAR-AETHER.cmd</w:t>
      </w:r>
    </w:p>
    <w:p>
      <w:pPr>
        <w:pStyle w:val="ListParagraph"/>
        <w:ind w:left="432" w:hanging="259"/>
      </w:pPr>
      <w:r>
        <w:rPr>
          <w:rFonts w:ascii="Times New Roman" w:hAnsi="Times New Roman"/>
          <w:sz w:val="24"/>
        </w:rPr>
        <w:t>• LEEME-DESPLIEGUE.txt</w:t>
      </w:r>
    </w:p>
    <w:p>
      <w:pPr>
        <w:pStyle w:val="ListParagraph"/>
        <w:ind w:left="432" w:hanging="259"/>
      </w:pPr>
      <w:r>
        <w:rPr>
          <w:rFonts w:ascii="Times New Roman" w:hAnsi="Times New Roman"/>
          <w:sz w:val="24"/>
        </w:rPr>
        <w:t>• run.bat</w:t>
      </w:r>
    </w:p>
    <w:p>
      <w:pPr>
        <w:pStyle w:val="ListParagraph"/>
        <w:ind w:left="432" w:hanging="259"/>
      </w:pPr>
      <w:r>
        <w:rPr>
          <w:rFonts w:ascii="Times New Roman" w:hAnsi="Times New Roman"/>
          <w:sz w:val="24"/>
        </w:rPr>
        <w:t>• run.sh</w:t>
      </w:r>
    </w:p>
    <w:p>
      <w:pPr>
        <w:pStyle w:val="ListParagraph"/>
        <w:ind w:left="432" w:hanging="317"/>
      </w:pPr>
      <w:r>
        <w:rPr>
          <w:rFonts w:ascii="Times New Roman" w:hAnsi="Times New Roman"/>
          <w:sz w:val="24"/>
        </w:rPr>
        <w:t>3. Confirme que Java esté disponible ejecutando java -version.</w:t>
      </w:r>
    </w:p>
    <w:p>
      <w:pPr>
        <w:ind w:firstLine="0"/>
      </w:pPr>
      <w:r>
        <w:rPr>
          <w:rFonts w:ascii="Times New Roman" w:hAnsi="Times New Roman"/>
          <w:sz w:val="24"/>
        </w:rPr>
        <w:t>No se requiere instalador .msi, registro de servicios ni modificación adicional de variables de entorno, aparte de disponer de Java en el PATH.</w:t>
      </w:r>
    </w:p>
    <w:p>
      <w:pPr>
        <w:ind w:firstLine="0"/>
        <w:jc w:val="center"/>
      </w:pPr>
      <w:r>
        <w:rPr>
          <w:rFonts w:ascii="Times New Roman" w:hAnsi="Times New Roman"/>
          <w:b/>
          <w:sz w:val="24"/>
        </w:rPr>
        <w:t>Contenido del paquete de despliegue</w:t>
      </w:r>
    </w:p>
    <w:tbl>
      <w:tblPr>
        <w:tblW w:type="auto" w:w="0"/>
        <w:jc w:val="center"/>
        <w:tblLayout w:type="fixed"/>
        <w:tblLook w:firstColumn="1" w:firstRow="1" w:lastColumn="0" w:lastRow="0" w:noHBand="0" w:noVBand="1" w:val="04A0"/>
        <w:tblBorders>
          <w:top w:val="single" w:sz="6" w:space="0" w:color="B9B2C2"/>
          <w:left w:val="single" w:sz="6" w:space="0" w:color="B9B2C2"/>
          <w:bottom w:val="single" w:sz="6" w:space="0" w:color="B9B2C2"/>
          <w:right w:val="single" w:sz="6" w:space="0" w:color="B9B2C2"/>
          <w:insideH w:val="single" w:sz="6" w:space="0" w:color="B9B2C2"/>
          <w:insideV w:val="single" w:sz="6" w:space="0" w:color="B9B2C2"/>
        </w:tblBorders>
      </w:tblPr>
      <w:tblGrid>
        <w:gridCol w:w="4680"/>
        <w:gridCol w:w="4680"/>
      </w:tblGrid>
      <w:tr>
        <w:trPr>
          <w:cantSplit/>
          <w:tblHeader w:val="true"/>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20"/>
              </w:rPr>
              <w:t>Archivo</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20"/>
              </w:rPr>
              <w:t>Función</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Aether2.0.jar</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Aplicación ejecutable con sus dependencias.</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orekit-data.zip</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Datos requeridos por Orekit: EOP, segundos intercalares y modelos gravitatorios.</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INICIAR-AETHER.cmd</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Inicio gráfico directo en Windows.</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run.bat</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Inicio en Windows con salida de diagnóstico.</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run.sh</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Inicio desde una terminal compatible con sh, como Git Bash.</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LEEME-DESPLIEGUE.txt</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Instrucciones resumidas del paquete.</w:t>
            </w:r>
          </w:p>
        </w:tc>
      </w:tr>
    </w:tbl>
    <w:p>
      <w:pPr>
        <w:pStyle w:val="Heading2"/>
      </w:pPr>
      <w:r>
        <w:rPr>
          <w:rFonts w:ascii="Times New Roman" w:hAnsi="Times New Roman"/>
          <w:color w:val="694B92"/>
          <w:sz w:val="24"/>
        </w:rPr>
        <w:t>1.5 Ejecución del paquete</w:t>
      </w:r>
    </w:p>
    <w:p>
      <w:pPr>
        <w:pStyle w:val="Heading3"/>
      </w:pPr>
      <w:r>
        <w:rPr>
          <w:rFonts w:ascii="Times New Roman" w:hAnsi="Times New Roman"/>
          <w:color w:val="694B92"/>
          <w:sz w:val="24"/>
        </w:rPr>
        <w:t>1.5.1 Windows - inicio gráfico</w:t>
      </w:r>
    </w:p>
    <w:p>
      <w:pPr>
        <w:ind w:firstLine="0"/>
      </w:pPr>
      <w:r>
        <w:rPr>
          <w:rFonts w:ascii="Times New Roman" w:hAnsi="Times New Roman"/>
          <w:sz w:val="24"/>
        </w:rPr>
        <w:t>Para iniciar AETHER sin mantener una consola visible, haga doble clic en:</w:t>
      </w:r>
    </w:p>
    <w:p>
      <w:pPr>
        <w:pStyle w:val="Código"/>
      </w:pPr>
      <w:r>
        <w:rPr>
          <w:rFonts w:ascii="Courier New" w:hAnsi="Courier New"/>
          <w:sz w:val="20"/>
        </w:rPr>
        <w:t>INICIAR-AETHER.cmd</w:t>
      </w:r>
    </w:p>
    <w:p>
      <w:pPr>
        <w:ind w:firstLine="0"/>
      </w:pPr>
      <w:r>
        <w:rPr>
          <w:rFonts w:ascii="Times New Roman" w:hAnsi="Times New Roman"/>
          <w:sz w:val="24"/>
        </w:rPr>
        <w:t>Si Windows no puede iniciar la aplicación, utilice run.bat para visualizar el detalle del error.</w:t>
      </w:r>
    </w:p>
    <w:p>
      <w:pPr>
        <w:pStyle w:val="Heading3"/>
      </w:pPr>
      <w:r>
        <w:rPr>
          <w:rFonts w:ascii="Times New Roman" w:hAnsi="Times New Roman"/>
          <w:color w:val="694B92"/>
          <w:sz w:val="24"/>
        </w:rPr>
        <w:t>1.5.2 Windows - CMD/PowerShell</w:t>
      </w:r>
    </w:p>
    <w:p>
      <w:pPr>
        <w:ind w:firstLine="0"/>
      </w:pPr>
      <w:r>
        <w:rPr>
          <w:rFonts w:ascii="Times New Roman" w:hAnsi="Times New Roman"/>
          <w:sz w:val="24"/>
        </w:rPr>
        <w:t>Abra una terminal en la carpeta del paquete y ejecute:</w:t>
      </w:r>
    </w:p>
    <w:p>
      <w:pPr>
        <w:pStyle w:val="Código"/>
      </w:pPr>
      <w:r>
        <w:rPr>
          <w:rFonts w:ascii="Courier New" w:hAnsi="Courier New"/>
          <w:sz w:val="20"/>
        </w:rPr>
        <w:t>.\run.bat</w:t>
      </w:r>
    </w:p>
    <w:p>
      <w:pPr>
        <w:ind w:firstLine="0"/>
      </w:pPr>
      <w:r>
        <w:rPr>
          <w:rFonts w:ascii="Times New Roman" w:hAnsi="Times New Roman"/>
          <w:sz w:val="24"/>
        </w:rPr>
        <w:t>Como alternativa de diagnóstico, el JAR puede invocarse directamente indicando a Orekit la ubicación de sus datos:</w:t>
      </w:r>
    </w:p>
    <w:p>
      <w:pPr>
        <w:pStyle w:val="Código"/>
      </w:pPr>
      <w:r>
        <w:rPr>
          <w:rFonts w:ascii="Courier New" w:hAnsi="Courier New"/>
          <w:sz w:val="20"/>
        </w:rPr>
        <w:t>java "-Daether.orekit.data=%CD%\orekit-data.zip" -jar "Aether2.0.jar"</w:t>
      </w:r>
    </w:p>
    <w:p>
      <w:pPr>
        <w:pStyle w:val="Heading3"/>
      </w:pPr>
      <w:r>
        <w:rPr>
          <w:rFonts w:ascii="Times New Roman" w:hAnsi="Times New Roman"/>
          <w:color w:val="694B92"/>
          <w:sz w:val="24"/>
        </w:rPr>
        <w:t>1.5.3 Git Bash en Windows</w:t>
      </w:r>
    </w:p>
    <w:p>
      <w:pPr>
        <w:ind w:firstLine="0"/>
      </w:pPr>
      <w:r>
        <w:rPr>
          <w:rFonts w:ascii="Times New Roman" w:hAnsi="Times New Roman"/>
          <w:sz w:val="24"/>
        </w:rPr>
        <w:t>Desde Git Bash, situado en la carpeta del paquete, ejecute:</w:t>
      </w:r>
    </w:p>
    <w:p>
      <w:pPr>
        <w:pStyle w:val="Código"/>
      </w:pPr>
      <w:r>
        <w:rPr>
          <w:rFonts w:ascii="Courier New" w:hAnsi="Courier New"/>
          <w:sz w:val="20"/>
        </w:rPr>
        <w:t>./run.sh</w:t>
      </w:r>
    </w:p>
    <w:p>
      <w:pPr>
        <w:pStyle w:val="Heading2"/>
      </w:pPr>
      <w:r>
        <w:rPr>
          <w:rFonts w:ascii="Times New Roman" w:hAnsi="Times New Roman"/>
          <w:color w:val="694B92"/>
          <w:sz w:val="24"/>
        </w:rPr>
        <w:t>1.6 Verificación rápida del paquete</w:t>
      </w:r>
    </w:p>
    <w:p>
      <w:pPr>
        <w:ind w:firstLine="0"/>
      </w:pPr>
      <w:r>
        <w:rPr>
          <w:rFonts w:ascii="Times New Roman" w:hAnsi="Times New Roman"/>
          <w:sz w:val="24"/>
        </w:rPr>
        <w:t>Antes del primer uso, puede comprobar la integridad del paquete sin iniciar la interfaz completa:</w:t>
      </w:r>
    </w:p>
    <w:p>
      <w:pPr>
        <w:pStyle w:val="ListParagraph"/>
        <w:ind w:left="432" w:hanging="259"/>
      </w:pPr>
      <w:r>
        <w:rPr>
          <w:rFonts w:ascii="Times New Roman" w:hAnsi="Times New Roman"/>
          <w:sz w:val="24"/>
        </w:rPr>
        <w:t>• Windows: .\run.bat --verificar-despliegue</w:t>
      </w:r>
    </w:p>
    <w:p>
      <w:pPr>
        <w:pStyle w:val="ListParagraph"/>
        <w:ind w:left="432" w:hanging="259"/>
      </w:pPr>
      <w:r>
        <w:rPr>
          <w:rFonts w:ascii="Times New Roman" w:hAnsi="Times New Roman"/>
          <w:sz w:val="24"/>
        </w:rPr>
        <w:t>• Git Bash: ./run.sh --verificar-despliegue</w:t>
      </w:r>
    </w:p>
    <w:p>
      <w:pPr>
        <w:ind w:firstLine="0"/>
      </w:pPr>
      <w:r>
        <w:rPr>
          <w:rFonts w:ascii="Times New Roman" w:hAnsi="Times New Roman"/>
          <w:sz w:val="24"/>
        </w:rPr>
        <w:t>Una verificación correcta termina con la línea:</w:t>
      </w:r>
    </w:p>
    <w:p>
      <w:pPr>
        <w:pStyle w:val="Código"/>
      </w:pPr>
      <w:r>
        <w:rPr>
          <w:rFonts w:ascii="Courier New" w:hAnsi="Courier New"/>
          <w:sz w:val="20"/>
        </w:rPr>
        <w:t>DESPLIEGUE AETHER: OK</w:t>
      </w:r>
    </w:p>
    <w:p>
      <w:pPr>
        <w:pStyle w:val="Heading2"/>
      </w:pPr>
      <w:r>
        <w:rPr>
          <w:rFonts w:ascii="Times New Roman" w:hAnsi="Times New Roman"/>
          <w:color w:val="694B92"/>
          <w:sz w:val="24"/>
        </w:rPr>
        <w:t>1.7 Qué hacen los scripts internamente</w:t>
      </w:r>
    </w:p>
    <w:p>
      <w:pPr>
        <w:ind w:firstLine="0"/>
      </w:pPr>
      <w:r>
        <w:rPr>
          <w:rFonts w:ascii="Times New Roman" w:hAnsi="Times New Roman"/>
          <w:sz w:val="24"/>
        </w:rPr>
        <w:t>Los scripts de lanzamiento:</w:t>
      </w:r>
    </w:p>
    <w:p>
      <w:pPr>
        <w:pStyle w:val="ListParagraph"/>
        <w:ind w:left="432" w:hanging="259"/>
      </w:pPr>
      <w:r>
        <w:rPr>
          <w:rFonts w:ascii="Times New Roman" w:hAnsi="Times New Roman"/>
          <w:sz w:val="24"/>
        </w:rPr>
        <w:t>• Se ubican en su propia carpeta para que el paquete pueda moverse sin romper las rutas relativas.</w:t>
      </w:r>
    </w:p>
    <w:p>
      <w:pPr>
        <w:pStyle w:val="ListParagraph"/>
        <w:ind w:left="432" w:hanging="259"/>
      </w:pPr>
      <w:r>
        <w:rPr>
          <w:rFonts w:ascii="Times New Roman" w:hAnsi="Times New Roman"/>
          <w:sz w:val="24"/>
        </w:rPr>
        <w:t>• Verifican que existan Aether2.0.jar y orekit-data.zip.</w:t>
      </w:r>
    </w:p>
    <w:p>
      <w:pPr>
        <w:pStyle w:val="ListParagraph"/>
        <w:ind w:left="432" w:hanging="259"/>
      </w:pPr>
      <w:r>
        <w:rPr>
          <w:rFonts w:ascii="Times New Roman" w:hAnsi="Times New Roman"/>
          <w:sz w:val="24"/>
        </w:rPr>
        <w:t>• Verifican que Java esté disponible en el PATH.</w:t>
      </w:r>
    </w:p>
    <w:p>
      <w:pPr>
        <w:pStyle w:val="ListParagraph"/>
        <w:ind w:left="432" w:hanging="259"/>
      </w:pPr>
      <w:r>
        <w:rPr>
          <w:rFonts w:ascii="Times New Roman" w:hAnsi="Times New Roman"/>
          <w:sz w:val="24"/>
        </w:rPr>
        <w:t>• Inician la aplicación indicando a Orekit la ubicación de orekit-data.zip.</w:t>
      </w:r>
    </w:p>
    <w:p>
      <w:pPr>
        <w:pStyle w:val="Código"/>
      </w:pPr>
      <w:r>
        <w:rPr>
          <w:rFonts w:ascii="Courier New" w:hAnsi="Courier New"/>
          <w:sz w:val="20"/>
        </w:rPr>
        <w:t>java -Daether.orekit.data=&lt;carpeta&gt;/orekit-data.zip -jar Aether2.0.jar</w:t>
      </w:r>
    </w:p>
    <w:p>
      <w:pPr>
        <w:pStyle w:val="Heading1"/>
      </w:pPr>
      <w:r>
        <w:rPr>
          <w:rFonts w:ascii="Times New Roman" w:hAnsi="Times New Roman"/>
          <w:color w:val="694B92"/>
          <w:sz w:val="24"/>
        </w:rPr>
        <w:t>2. Guía de uso paso a paso</w:t>
      </w:r>
    </w:p>
    <w:p>
      <w:pPr>
        <w:ind w:firstLine="0"/>
      </w:pPr>
      <w:r>
        <w:rPr>
          <w:rFonts w:ascii="Times New Roman" w:hAnsi="Times New Roman"/>
          <w:sz w:val="24"/>
        </w:rPr>
        <w:t>Esta sección describe el flujo básico de uso de AETHER 2.0 desde el inicio de la aplicación hasta la lectura de la telemetría.</w:t>
      </w:r>
    </w:p>
    <w:p>
      <w:pPr>
        <w:pStyle w:val="Heading2"/>
      </w:pPr>
      <w:r>
        <w:rPr>
          <w:rFonts w:ascii="Times New Roman" w:hAnsi="Times New Roman"/>
          <w:color w:val="694B92"/>
          <w:sz w:val="24"/>
        </w:rPr>
        <w:t>2.1 Lanzamiento de la aplicación</w:t>
      </w:r>
    </w:p>
    <w:p>
      <w:pPr>
        <w:ind w:firstLine="0"/>
      </w:pPr>
      <w:r>
        <w:rPr>
          <w:rFonts w:ascii="Times New Roman" w:hAnsi="Times New Roman"/>
          <w:sz w:val="24"/>
        </w:rPr>
        <w:t>En Windows, inicie el programa mediante INICIAR-AETHER.cmd. También puede ejecutarlo desde CMD o PowerShell con .\run.bat. Al iniciar, se carga la interfaz principal de AETHER y aparece el cuadro de acceso del operador.</w:t>
      </w:r>
    </w:p>
    <w:p>
      <w:pPr>
        <w:pStyle w:val="Heading2"/>
      </w:pPr>
      <w:r>
        <w:rPr>
          <w:rFonts w:ascii="Times New Roman" w:hAnsi="Times New Roman"/>
          <w:color w:val="694B92"/>
          <w:sz w:val="24"/>
        </w:rPr>
        <w:t>2.2 Inicio de sesión</w:t>
      </w:r>
    </w:p>
    <w:p>
      <w:pPr>
        <w:ind w:firstLine="0"/>
      </w:pPr>
      <w:r>
        <w:rPr>
          <w:rFonts w:ascii="Times New Roman" w:hAnsi="Times New Roman"/>
          <w:sz w:val="24"/>
        </w:rPr>
        <w:t>Al arrancar, el sistema muestra el cuadro de diálogo "Acceso AETHER". Introduzca un nombre de operador no vacío y la contraseña predeterminada del sistema.</w:t>
      </w:r>
    </w:p>
    <w:p>
      <w:pPr>
        <w:pStyle w:val="ListParagraph"/>
        <w:ind w:left="432" w:hanging="259"/>
      </w:pPr>
      <w:r>
        <w:rPr>
          <w:rFonts w:ascii="Times New Roman" w:hAnsi="Times New Roman"/>
          <w:sz w:val="24"/>
        </w:rPr>
        <w:t>• Usuario: cualquier nombre de operador no vacío.</w:t>
      </w:r>
    </w:p>
    <w:p>
      <w:pPr>
        <w:pStyle w:val="ListParagraph"/>
        <w:ind w:left="432" w:hanging="259"/>
      </w:pPr>
      <w:r>
        <w:rPr>
          <w:rFonts w:ascii="Times New Roman" w:hAnsi="Times New Roman"/>
          <w:sz w:val="24"/>
        </w:rPr>
        <w:t>• Contraseña predeterminada: 27201.</w:t>
      </w:r>
    </w:p>
    <w:p>
      <w:pPr>
        <w:ind w:firstLine="0"/>
      </w:pPr>
      <w:r>
        <w:rPr>
          <w:rFonts w:ascii="Times New Roman" w:hAnsi="Times New Roman"/>
          <w:sz w:val="24"/>
        </w:rPr>
        <w:t>Si se cancela el acceso, el sistema queda en estado BLOQUEADO. Si la contraseña no coincide, se muestra un mensaje de acceso inválido y el formulario vuelve a solicitar las credenciales.</w:t>
      </w:r>
    </w:p>
    <w:p>
      <w:pPr>
        <w:ind w:firstLine="0"/>
        <w:jc w:val="center"/>
      </w:pPr>
      <w:r>
        <w:rPr>
          <w:rFonts w:ascii="Times New Roman" w:hAnsi="Times New Roman"/>
          <w:sz w:val="24"/>
        </w:rPr>
        <w:drawing>
          <wp:inline xmlns:a="http://schemas.openxmlformats.org/drawingml/2006/main" xmlns:pic="http://schemas.openxmlformats.org/drawingml/2006/picture">
            <wp:extent cx="5669280" cy="3062587"/>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062587"/>
                    </a:xfrm>
                    <a:prstGeom prst="rect"/>
                  </pic:spPr>
                </pic:pic>
              </a:graphicData>
            </a:graphic>
          </wp:inline>
        </w:drawing>
      </w:r>
    </w:p>
    <w:p>
      <w:pPr>
        <w:pStyle w:val="CaptionAether"/>
      </w:pPr>
      <w:r>
        <w:rPr>
          <w:rFonts w:ascii="Times New Roman" w:hAnsi="Times New Roman"/>
          <w:sz w:val="20"/>
        </w:rPr>
        <w:t>Figura 1. Pantalla de inicio de sesión de AETHER 2.0.</w:t>
      </w:r>
    </w:p>
    <w:p>
      <w:pPr>
        <w:ind w:firstLine="0"/>
        <w:jc w:val="center"/>
      </w:pPr>
      <w:r>
        <w:rPr>
          <w:rFonts w:ascii="Times New Roman" w:hAnsi="Times New Roman"/>
          <w:sz w:val="24"/>
        </w:rPr>
        <w:drawing>
          <wp:inline xmlns:a="http://schemas.openxmlformats.org/drawingml/2006/main" xmlns:pic="http://schemas.openxmlformats.org/drawingml/2006/picture">
            <wp:extent cx="5669280" cy="3073618"/>
            <wp:docPr id="2" name="Picture 2"/>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3073618"/>
                    </a:xfrm>
                    <a:prstGeom prst="rect"/>
                  </pic:spPr>
                </pic:pic>
              </a:graphicData>
            </a:graphic>
          </wp:inline>
        </w:drawing>
      </w:r>
    </w:p>
    <w:p>
      <w:pPr>
        <w:pStyle w:val="CaptionAether"/>
      </w:pPr>
      <w:r>
        <w:rPr>
          <w:rFonts w:ascii="Times New Roman" w:hAnsi="Times New Roman"/>
          <w:sz w:val="20"/>
        </w:rPr>
        <w:t>Figura 2. Panel principal después de iniciar sesión.</w:t>
      </w:r>
    </w:p>
    <w:p>
      <w:pPr>
        <w:pStyle w:val="Heading2"/>
      </w:pPr>
      <w:r>
        <w:rPr>
          <w:rFonts w:ascii="Times New Roman" w:hAnsi="Times New Roman"/>
          <w:color w:val="694B92"/>
          <w:sz w:val="24"/>
        </w:rPr>
        <w:t>2.3 Formulario de entrada de parámetros</w:t>
      </w:r>
    </w:p>
    <w:p>
      <w:pPr>
        <w:ind w:firstLine="0"/>
      </w:pPr>
      <w:r>
        <w:rPr>
          <w:rFonts w:ascii="Times New Roman" w:hAnsi="Times New Roman"/>
          <w:sz w:val="24"/>
        </w:rPr>
        <w:t>En el menú Opciones se despliega el formulario de configuración orbital. Puede utilizar los valores predeterminados o introducir parámetros personalizados dentro de los rangos válidos definidos por la aplicación.</w:t>
      </w:r>
    </w:p>
    <w:p>
      <w:pPr>
        <w:ind w:firstLine="0"/>
      </w:pPr>
      <w:r>
        <w:rPr>
          <w:rFonts w:ascii="Times New Roman" w:hAnsi="Times New Roman"/>
          <w:sz w:val="24"/>
        </w:rPr>
        <w:t>Desde esta ventana el usuario puede:</w:t>
      </w:r>
    </w:p>
    <w:p>
      <w:pPr>
        <w:pStyle w:val="ListParagraph"/>
        <w:ind w:left="432" w:hanging="259"/>
      </w:pPr>
      <w:r>
        <w:rPr>
          <w:rFonts w:ascii="Times New Roman" w:hAnsi="Times New Roman"/>
          <w:sz w:val="24"/>
        </w:rPr>
        <w:t>• Configurar las variables orbitales de la misión.</w:t>
      </w:r>
    </w:p>
    <w:p>
      <w:pPr>
        <w:pStyle w:val="ListParagraph"/>
        <w:ind w:left="432" w:hanging="259"/>
      </w:pPr>
      <w:r>
        <w:rPr>
          <w:rFonts w:ascii="Times New Roman" w:hAnsi="Times New Roman"/>
          <w:sz w:val="24"/>
        </w:rPr>
        <w:t>• Modificar parámetros antes de calcular o iniciar la simulación.</w:t>
      </w:r>
    </w:p>
    <w:p>
      <w:pPr>
        <w:pStyle w:val="ListParagraph"/>
        <w:ind w:left="432" w:hanging="259"/>
      </w:pPr>
      <w:r>
        <w:rPr>
          <w:rFonts w:ascii="Times New Roman" w:hAnsi="Times New Roman"/>
          <w:sz w:val="24"/>
        </w:rPr>
        <w:t>• Validar los datos ingresados frente a las restricciones del sistema.</w:t>
      </w:r>
    </w:p>
    <w:p>
      <w:pPr>
        <w:pStyle w:val="ListParagraph"/>
        <w:ind w:left="432" w:hanging="259"/>
      </w:pPr>
      <w:r>
        <w:rPr>
          <w:rFonts w:ascii="Times New Roman" w:hAnsi="Times New Roman"/>
          <w:sz w:val="24"/>
        </w:rPr>
        <w:t>• Seleccionar la escala de tiempo entre 1x y 1000x.</w:t>
      </w:r>
    </w:p>
    <w:p>
      <w:pPr>
        <w:pStyle w:val="ListParagraph"/>
        <w:ind w:left="432" w:hanging="259"/>
      </w:pPr>
      <w:r>
        <w:rPr>
          <w:rFonts w:ascii="Times New Roman" w:hAnsi="Times New Roman"/>
          <w:sz w:val="24"/>
        </w:rPr>
        <w:t>• Acceder a los controles de cálculo y reproducción de la simulación.</w:t>
      </w:r>
    </w:p>
    <w:p>
      <w:pPr>
        <w:ind w:firstLine="0"/>
        <w:jc w:val="center"/>
      </w:pPr>
      <w:r>
        <w:rPr>
          <w:rFonts w:ascii="Times New Roman" w:hAnsi="Times New Roman"/>
          <w:sz w:val="24"/>
        </w:rPr>
        <w:drawing>
          <wp:inline xmlns:a="http://schemas.openxmlformats.org/drawingml/2006/main" xmlns:pic="http://schemas.openxmlformats.org/drawingml/2006/picture">
            <wp:extent cx="5715000" cy="3043293"/>
            <wp:docPr id="3" name="Picture 3"/>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715000" cy="3043293"/>
                    </a:xfrm>
                    <a:prstGeom prst="rect"/>
                  </pic:spPr>
                </pic:pic>
              </a:graphicData>
            </a:graphic>
          </wp:inline>
        </w:drawing>
      </w:r>
    </w:p>
    <w:p>
      <w:pPr>
        <w:pStyle w:val="CaptionAether"/>
      </w:pPr>
      <w:r>
        <w:rPr>
          <w:rFonts w:ascii="Times New Roman" w:hAnsi="Times New Roman"/>
          <w:sz w:val="20"/>
        </w:rPr>
        <w:t>Figura 3. Formulario de parámetros orbitales y controles de simulación.</w:t>
      </w:r>
    </w:p>
    <w:p>
      <w:pPr>
        <w:pStyle w:val="Heading2"/>
      </w:pPr>
      <w:r>
        <w:rPr>
          <w:rFonts w:ascii="Times New Roman" w:hAnsi="Times New Roman"/>
          <w:color w:val="694B92"/>
          <w:sz w:val="24"/>
        </w:rPr>
        <w:t>2.4 Ejecución de la misión</w:t>
      </w:r>
    </w:p>
    <w:p>
      <w:pPr>
        <w:ind w:firstLine="0"/>
      </w:pPr>
      <w:r>
        <w:rPr>
          <w:rFonts w:ascii="Times New Roman" w:hAnsi="Times New Roman"/>
          <w:sz w:val="24"/>
        </w:rPr>
        <w:t>Después de revisar los parámetros, utilice Calcular/Recalcular para actualizar el cálculo orbital o Iniciar para comenzar la simulación. El motor procesa la configuración, calcula la trayectoria y actualiza los datos de telemetría durante la reproducción.</w:t>
      </w:r>
    </w:p>
    <w:p>
      <w:pPr>
        <w:ind w:firstLine="0"/>
      </w:pPr>
      <w:r>
        <w:rPr>
          <w:rFonts w:ascii="Times New Roman" w:hAnsi="Times New Roman"/>
          <w:sz w:val="24"/>
        </w:rPr>
        <w:t>Aguarde a que el sistema complete la inicialización antes de utilizar los controles de reproducción.</w:t>
      </w:r>
    </w:p>
    <w:p>
      <w:pPr>
        <w:ind w:firstLine="0"/>
        <w:jc w:val="center"/>
      </w:pPr>
      <w:r>
        <w:rPr>
          <w:rFonts w:ascii="Times New Roman" w:hAnsi="Times New Roman"/>
          <w:sz w:val="24"/>
        </w:rPr>
        <w:drawing>
          <wp:inline xmlns:a="http://schemas.openxmlformats.org/drawingml/2006/main" xmlns:pic="http://schemas.openxmlformats.org/drawingml/2006/picture">
            <wp:extent cx="5669280" cy="3033175"/>
            <wp:docPr id="4" name="Picture 4"/>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3033175"/>
                    </a:xfrm>
                    <a:prstGeom prst="rect"/>
                  </pic:spPr>
                </pic:pic>
              </a:graphicData>
            </a:graphic>
          </wp:inline>
        </w:drawing>
      </w:r>
    </w:p>
    <w:p>
      <w:pPr>
        <w:pStyle w:val="CaptionAether"/>
      </w:pPr>
      <w:r>
        <w:rPr>
          <w:rFonts w:ascii="Times New Roman" w:hAnsi="Times New Roman"/>
          <w:sz w:val="20"/>
        </w:rPr>
        <w:t>Figura 4. Simulación en ejecución con trayectoria y telemetría actualizadas.</w:t>
      </w:r>
    </w:p>
    <w:p>
      <w:pPr>
        <w:pStyle w:val="Heading2"/>
      </w:pPr>
      <w:r>
        <w:rPr>
          <w:rFonts w:ascii="Times New Roman" w:hAnsi="Times New Roman"/>
          <w:color w:val="694B92"/>
          <w:sz w:val="24"/>
        </w:rPr>
        <w:t>2.5 Controles de la simulación</w:t>
      </w:r>
    </w:p>
    <w:p>
      <w:pPr>
        <w:ind w:firstLine="0"/>
      </w:pPr>
      <w:r>
        <w:rPr>
          <w:rFonts w:ascii="Times New Roman" w:hAnsi="Times New Roman"/>
          <w:sz w:val="24"/>
        </w:rPr>
        <w:t>La ventana Opciones reúne los controles principales de la simulación:</w:t>
      </w:r>
    </w:p>
    <w:tbl>
      <w:tblPr>
        <w:tblW w:type="auto" w:w="0"/>
        <w:jc w:val="center"/>
        <w:tblLayout w:type="fixed"/>
        <w:tblLook w:firstColumn="1" w:firstRow="1" w:lastColumn="0" w:lastRow="0" w:noHBand="0" w:noVBand="1" w:val="04A0"/>
        <w:tblBorders>
          <w:top w:val="single" w:sz="6" w:space="0" w:color="B9B2C2"/>
          <w:left w:val="single" w:sz="6" w:space="0" w:color="B9B2C2"/>
          <w:bottom w:val="single" w:sz="6" w:space="0" w:color="B9B2C2"/>
          <w:right w:val="single" w:sz="6" w:space="0" w:color="B9B2C2"/>
          <w:insideH w:val="single" w:sz="6" w:space="0" w:color="B9B2C2"/>
          <w:insideV w:val="single" w:sz="6" w:space="0" w:color="B9B2C2"/>
        </w:tblBorders>
      </w:tblPr>
      <w:tblGrid>
        <w:gridCol w:w="4680"/>
        <w:gridCol w:w="4680"/>
      </w:tblGrid>
      <w:tr>
        <w:trPr>
          <w:cantSplit/>
          <w:tblHeader w:val="true"/>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20"/>
              </w:rPr>
              <w:t>Control</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20"/>
              </w:rPr>
              <w:t>Función</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Calcular/Recalcular</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Valida y guarda la configuración actual y vuelve a calcular la trayectoria orbital.</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Iniciar</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Comienza la simulación utilizando la configuración actual.</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Pausar/Reanudar</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Pausa temporalmente la reproducción o la reanuda sin reiniciar la misión.</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Detener</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Detiene la simulación activa y conserva el último estado visible.</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Reiniciar</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Devuelve la simulación al estado inicial (T+0).</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Demo rápida</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Inicia una demostración conservando los parámetros físicos y comprimiendo el reloj visual para acelerar la reproducción.</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Escala de tiempo</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20"/>
              </w:rPr>
              <w:t>Ajusta la velocidad de reproducción entre 1x y 1000x.</w:t>
            </w:r>
          </w:p>
        </w:tc>
      </w:tr>
      <w:tr>
        <w:trPr>
          <w:cantSplit/>
        </w:trPr>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Cerrar</w:t>
            </w:r>
          </w:p>
        </w:tc>
        <w:tc>
          <w:tcPr>
            <w:tcW w:type="dxa" w:w="468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20"/>
              </w:rPr>
              <w:t>Cierra la ventana de opciones sin ejecutar otra acción.</w:t>
            </w:r>
          </w:p>
        </w:tc>
      </w:tr>
    </w:tbl>
    <w:p>
      <w:pPr>
        <w:ind w:firstLine="0"/>
        <w:jc w:val="center"/>
      </w:pPr>
      <w:r>
        <w:rPr>
          <w:rFonts w:ascii="Times New Roman" w:hAnsi="Times New Roman"/>
          <w:sz w:val="24"/>
        </w:rPr>
        <w:drawing>
          <wp:inline xmlns:a="http://schemas.openxmlformats.org/drawingml/2006/main" xmlns:pic="http://schemas.openxmlformats.org/drawingml/2006/picture">
            <wp:extent cx="5486400" cy="1041009"/>
            <wp:docPr id="5" name="Picture 5"/>
            <wp:cNvGraphicFramePr>
              <a:graphicFrameLocks noChangeAspect="1"/>
            </wp:cNvGraphicFramePr>
            <a:graphic>
              <a:graphicData uri="http://schemas.openxmlformats.org/drawingml/2006/picture">
                <pic:pic>
                  <pic:nvPicPr>
                    <pic:cNvPr id="0" name="controls.png"/>
                    <pic:cNvPicPr/>
                  </pic:nvPicPr>
                  <pic:blipFill>
                    <a:blip r:embed="rId14"/>
                    <a:stretch>
                      <a:fillRect/>
                    </a:stretch>
                  </pic:blipFill>
                  <pic:spPr>
                    <a:xfrm>
                      <a:off x="0" y="0"/>
                      <a:ext cx="5486400" cy="1041009"/>
                    </a:xfrm>
                    <a:prstGeom prst="rect"/>
                  </pic:spPr>
                </pic:pic>
              </a:graphicData>
            </a:graphic>
          </wp:inline>
        </w:drawing>
      </w:r>
    </w:p>
    <w:p>
      <w:pPr>
        <w:pStyle w:val="CaptionAether"/>
      </w:pPr>
      <w:r>
        <w:rPr>
          <w:rFonts w:ascii="Times New Roman" w:hAnsi="Times New Roman"/>
          <w:sz w:val="20"/>
        </w:rPr>
        <w:t>Figura 5. Controles de reproducción y escala de tiempo.</w:t>
      </w:r>
    </w:p>
    <w:p>
      <w:pPr>
        <w:pStyle w:val="Heading2"/>
      </w:pPr>
      <w:r>
        <w:rPr>
          <w:rFonts w:ascii="Times New Roman" w:hAnsi="Times New Roman"/>
          <w:color w:val="694B92"/>
          <w:sz w:val="24"/>
        </w:rPr>
        <w:t>2.6 Lectura del panel de telemetría</w:t>
      </w:r>
    </w:p>
    <w:p>
      <w:pPr>
        <w:ind w:firstLine="0"/>
      </w:pPr>
      <w:r>
        <w:rPr>
          <w:rFonts w:ascii="Times New Roman" w:hAnsi="Times New Roman"/>
          <w:sz w:val="24"/>
        </w:rPr>
        <w:t>El panel de telemetría presenta los valores generados durante la simulación y permite observar el estado de la trayectoria y la evolución de sus parámetros.</w:t>
      </w:r>
    </w:p>
    <w:p>
      <w:pPr>
        <w:ind w:firstLine="0"/>
      </w:pPr>
      <w:r>
        <w:rPr>
          <w:rFonts w:ascii="Times New Roman" w:hAnsi="Times New Roman"/>
          <w:sz w:val="24"/>
        </w:rPr>
        <w:t>Durante la reproducción se actualizan, entre otros, la velocidad, la altitud, la distancia a la Luna, el porcentaje visual de combustible, el tiempo desde el lanzamiento y el estado del sistema.</w:t>
      </w:r>
    </w:p>
    <w:p>
      <w:pPr>
        <w:ind w:firstLine="0"/>
      </w:pPr>
      <w:r>
        <w:rPr>
          <w:rFonts w:ascii="Times New Roman" w:hAnsi="Times New Roman"/>
          <w:sz w:val="24"/>
        </w:rPr>
        <w:t>Los valores deben utilizarse como referencia numérica de la simulación; la visualización 3D es esquemática y no está representada a escala física.</w:t>
      </w:r>
    </w:p>
    <w:p>
      <w:pPr>
        <w:ind w:firstLine="0"/>
        <w:jc w:val="center"/>
      </w:pPr>
      <w:r>
        <w:rPr>
          <w:rFonts w:ascii="Times New Roman" w:hAnsi="Times New Roman"/>
          <w:sz w:val="24"/>
        </w:rPr>
        <w:drawing>
          <wp:inline xmlns:a="http://schemas.openxmlformats.org/drawingml/2006/main" xmlns:pic="http://schemas.openxmlformats.org/drawingml/2006/picture">
            <wp:extent cx="1874519" cy="5140726"/>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1874519" cy="5140726"/>
                    </a:xfrm>
                    <a:prstGeom prst="rect"/>
                  </pic:spPr>
                </pic:pic>
              </a:graphicData>
            </a:graphic>
          </wp:inline>
        </w:drawing>
      </w:r>
    </w:p>
    <w:p>
      <w:pPr>
        <w:pStyle w:val="CaptionAether"/>
      </w:pPr>
      <w:r>
        <w:rPr>
          <w:rFonts w:ascii="Times New Roman" w:hAnsi="Times New Roman"/>
          <w:sz w:val="20"/>
        </w:rPr>
        <w:t>Figura 6. Detalle del panel de telemetría.</w:t>
      </w:r>
    </w:p>
    <w:p>
      <w:r>
        <w:rPr>
          <w:rFonts w:ascii="Times New Roman" w:hAnsi="Times New Roman"/>
          <w:sz w:val="24"/>
        </w:rPr>
        <w:br w:type="page"/>
      </w:r>
    </w:p>
    <w:p>
      <w:pPr>
        <w:pStyle w:val="Heading1"/>
      </w:pPr>
      <w:r>
        <w:rPr>
          <w:rFonts w:ascii="Times New Roman" w:hAnsi="Times New Roman"/>
          <w:color w:val="694B92"/>
          <w:sz w:val="24"/>
        </w:rPr>
        <w:t>3. Parámetros de referencia</w:t>
      </w:r>
    </w:p>
    <w:p>
      <w:pPr>
        <w:ind w:firstLine="0"/>
      </w:pPr>
      <w:r>
        <w:rPr>
          <w:rFonts w:ascii="Times New Roman" w:hAnsi="Times New Roman"/>
          <w:sz w:val="24"/>
        </w:rPr>
        <w:t>La siguiente tabla corresponde a los valores predeterminados y validaciones implementados en la versión actual de AETHER 2.0.</w:t>
      </w:r>
    </w:p>
    <w:tbl>
      <w:tblPr>
        <w:tblW w:type="auto" w:w="0"/>
        <w:jc w:val="center"/>
        <w:tblLayout w:type="fixed"/>
        <w:tblLook w:firstColumn="1" w:firstRow="1" w:lastColumn="0" w:lastRow="0" w:noHBand="0" w:noVBand="1" w:val="04A0"/>
        <w:tblBorders>
          <w:top w:val="single" w:sz="6" w:space="0" w:color="B9B2C2"/>
          <w:left w:val="single" w:sz="6" w:space="0" w:color="B9B2C2"/>
          <w:bottom w:val="single" w:sz="6" w:space="0" w:color="B9B2C2"/>
          <w:right w:val="single" w:sz="6" w:space="0" w:color="B9B2C2"/>
          <w:insideH w:val="single" w:sz="6" w:space="0" w:color="B9B2C2"/>
          <w:insideV w:val="single" w:sz="6" w:space="0" w:color="B9B2C2"/>
        </w:tblBorders>
      </w:tblPr>
      <w:tblGrid>
        <w:gridCol w:w="2340"/>
        <w:gridCol w:w="2340"/>
        <w:gridCol w:w="2340"/>
        <w:gridCol w:w="2340"/>
      </w:tblGrid>
      <w:tr>
        <w:trPr>
          <w:cantSplit/>
          <w:tblHeader w:val="true"/>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18"/>
              </w:rPr>
              <w:t>Parámetro</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18"/>
              </w:rPr>
              <w:t>Valor por defecto</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18"/>
              </w:rPr>
              <w:t>Rango válido / condición</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694B92" w:val="clear"/>
          </w:tcPr>
          <w:p>
            <w:pPr>
              <w:spacing w:line="252" w:lineRule="auto" w:after="0"/>
              <w:ind w:firstLine="0"/>
              <w:jc w:val="left"/>
            </w:pPr>
            <w:r>
              <w:rPr>
                <w:rFonts w:ascii="Times New Roman" w:hAnsi="Times New Roman"/>
                <w:b/>
                <w:color w:val="FFFFFF"/>
                <w:sz w:val="18"/>
              </w:rPr>
              <w:t>Unidades / notas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Nombre de la misión (missionName)</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Artemis II</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Texto obligatorio</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Identificador de la misión</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Nombre de la nave (spacecraftName)</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Orion</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Texto obligatorio</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Identificador de la nave espacial</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Masa de la nave (spacecraftMass)</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26000</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Sin rango explícito en la validación actual</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kg; valor numérico obligatorio</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Altitud inicial (initialAltitude)</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185</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160 a 2000</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km</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Velocidad inicial (initialVelocity)</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7.8</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&gt; 0 y &lt;= 20</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km/s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Inclinación (inclination)</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28.5</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0 a 180</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grados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Excentricidad (eccentricity)</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0.0</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0 &lt;= e &lt; 1</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Adimensional</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Argumento del perigeo (argumentOfPerigee)</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0.0</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0 &lt;= valor &lt; 360</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grados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Delta-V TLI (tliDeltaVKms)</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3.2</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0 a 5</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km/s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Encendido TLI (tliBurnOffsetHours)</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23.5</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0 hasta la duración simulada</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horas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Duración simulada (simulationHours)</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240</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1 a 240</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horas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Paso de simulación (simulationStepSeconds)</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60</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&gt; 0; la interfaz actual lo fija en 60</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segundos</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Escala de tiempo (simulationSpeed)</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1000</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1x a 1000x</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FFFFF" w:val="clear"/>
          </w:tcPr>
          <w:p>
            <w:pPr>
              <w:spacing w:line="252" w:lineRule="auto" w:after="0"/>
              <w:ind w:firstLine="0"/>
              <w:jc w:val="left"/>
            </w:pPr>
            <w:r>
              <w:rPr>
                <w:rFonts w:ascii="Times New Roman" w:hAnsi="Times New Roman"/>
                <w:color w:val="1F1F1F"/>
                <w:sz w:val="18"/>
              </w:rPr>
              <w:t>Factor de reproducción</w:t>
            </w:r>
          </w:p>
        </w:tc>
      </w:tr>
      <w:tr>
        <w:trPr>
          <w:cantSplit/>
        </w:trPr>
        <w:tc>
          <w:tcPr>
            <w:tcW w:type="dxa" w:w="3096"/>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Guardar reportes (saveReports)</w:t>
            </w:r>
          </w:p>
        </w:tc>
        <w:tc>
          <w:tcPr>
            <w:tcW w:type="dxa" w:w="1584"/>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true</w:t>
            </w:r>
          </w:p>
        </w:tc>
        <w:tc>
          <w:tcPr>
            <w:tcW w:type="dxa" w:w="2952"/>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true / false</w:t>
            </w:r>
          </w:p>
        </w:tc>
        <w:tc>
          <w:tcPr>
            <w:tcW w:type="dxa" w:w="1800"/>
            <w:vAlign w:val="center"/>
            <w:tcBorders>
              <w:top w:val="single" w:sz="6" w:color="B9B2C2" w:space="0"/>
              <w:left w:val="single" w:sz="6" w:color="B9B2C2" w:space="0"/>
              <w:bottom w:val="single" w:sz="6" w:color="B9B2C2" w:space="0"/>
              <w:right w:val="single" w:sz="6" w:color="B9B2C2" w:space="0"/>
              <w:insideH w:val="single" w:sz="6" w:space="0" w:color="B9B2C2"/>
              <w:insideV w:val="single" w:sz="6" w:space="0" w:color="B9B2C2"/>
            </w:tcBorders>
            <w:shd w:fill="F4F0F8" w:val="clear"/>
          </w:tcPr>
          <w:p>
            <w:pPr>
              <w:spacing w:line="252" w:lineRule="auto" w:after="0"/>
              <w:ind w:firstLine="0"/>
              <w:jc w:val="left"/>
            </w:pPr>
            <w:r>
              <w:rPr>
                <w:rFonts w:ascii="Times New Roman" w:hAnsi="Times New Roman"/>
                <w:color w:val="1F1F1F"/>
                <w:sz w:val="18"/>
              </w:rPr>
              <w:t>Booleano</w:t>
            </w:r>
          </w:p>
        </w:tc>
      </w:tr>
    </w:tbl>
    <w:p>
      <w:pPr>
        <w:ind w:firstLine="0"/>
      </w:pPr>
      <w:r>
        <w:rPr>
          <w:rFonts w:ascii="Times New Roman" w:hAnsi="Times New Roman"/>
          <w:sz w:val="24"/>
        </w:rPr>
        <w:t>Nota: la masa de la nave debe ser un valor numérico, pero la versión actual de MissionConfig no define una cota mínima o máxima adicional para ese campo. Esta condición se documenta de forma explícita para no atribuir al sistema una restricción que actualmente no implementa.</w:t>
      </w:r>
    </w:p>
    <w:p>
      <w:r>
        <w:rPr>
          <w:rFonts w:ascii="Times New Roman" w:hAnsi="Times New Roman"/>
          <w:sz w:val="24"/>
        </w:rPr>
        <w:br w:type="page"/>
      </w:r>
    </w:p>
    <w:p>
      <w:pPr>
        <w:pStyle w:val="Heading1"/>
      </w:pPr>
      <w:r>
        <w:rPr>
          <w:rFonts w:ascii="Times New Roman" w:hAnsi="Times New Roman"/>
          <w:color w:val="694B92"/>
          <w:sz w:val="24"/>
        </w:rPr>
        <w:t>4. Limitaciones conocidas</w:t>
      </w:r>
    </w:p>
    <w:p>
      <w:pPr>
        <w:ind w:firstLine="0"/>
      </w:pPr>
      <w:r>
        <w:rPr>
          <w:rFonts w:ascii="Times New Roman" w:hAnsi="Times New Roman"/>
          <w:sz w:val="24"/>
        </w:rPr>
        <w:t>Las siguientes limitaciones describen el alcance técnico de AETHER 2.0 y las soluciones alternativas recomendadas para interpretar correctamente los resultados.</w:t>
      </w:r>
    </w:p>
    <w:p>
      <w:pPr>
        <w:pStyle w:val="Heading2"/>
      </w:pPr>
      <w:r>
        <w:rPr>
          <w:rFonts w:ascii="Times New Roman" w:hAnsi="Times New Roman"/>
          <w:color w:val="694B92"/>
          <w:sz w:val="24"/>
        </w:rPr>
        <w:t>4.1 Revisión estática y cobertura parcial de los datos NASA</w:t>
      </w:r>
    </w:p>
    <w:p>
      <w:pPr>
        <w:ind w:firstLine="0"/>
      </w:pPr>
      <w:r>
        <w:rPr>
          <w:rFonts w:ascii="Times New Roman" w:hAnsi="Times New Roman"/>
          <w:b/>
          <w:sz w:val="24"/>
        </w:rPr>
        <w:t>Evidencia en AETHER 2.0:</w:t>
      </w:r>
      <w:r>
        <w:rPr>
          <w:rFonts w:ascii="Times New Roman" w:hAnsi="Times New Roman"/>
          <w:sz w:val="24"/>
        </w:rPr>
        <w:t xml:space="preserve"> El recurso incluido se identifica como CCSDS OEM 2.0, originado por NASA/JSC/FOD/FDO, en EME2000 y UTC. Fue creado el 10 de abril de 2026 y cubre del 2 de abril de 2026 a las 01:57:37.084 UTC hasta el 10 de abril de 2026 a las 23:53:16.723 UTC. La nota de origen indica que comienza después de la separación del ICPS y termina en la interfaz de entrada.</w:t>
      </w:r>
    </w:p>
    <w:p>
      <w:pPr>
        <w:ind w:firstLine="0"/>
      </w:pPr>
      <w:r>
        <w:rPr>
          <w:rFonts w:ascii="Times New Roman" w:hAnsi="Times New Roman"/>
          <w:b/>
          <w:sz w:val="24"/>
        </w:rPr>
        <w:t>Explicación:</w:t>
      </w:r>
      <w:r>
        <w:rPr>
          <w:rFonts w:ascii="Times New Roman" w:hAnsi="Times New Roman"/>
          <w:sz w:val="24"/>
        </w:rPr>
        <w:t xml:space="preserve"> El preajuste Artemis II reproduce una revisión concreta de una predicción de vuelo almacenada localmente. No contiene el lanzamiento ni el ascenso y no se actualiza automáticamente si NASA publica una revisión posterior o telemetría real.</w:t>
      </w:r>
    </w:p>
    <w:p>
      <w:pPr>
        <w:ind w:firstLine="0"/>
      </w:pPr>
      <w:r>
        <w:rPr>
          <w:rFonts w:ascii="Times New Roman" w:hAnsi="Times New Roman"/>
          <w:b/>
          <w:sz w:val="24"/>
        </w:rPr>
        <w:t>Impacto:</w:t>
      </w:r>
      <w:r>
        <w:rPr>
          <w:rFonts w:ascii="Times New Roman" w:hAnsi="Times New Roman"/>
          <w:sz w:val="24"/>
        </w:rPr>
        <w:t xml:space="preserve"> Una comparación con un archivo más nuevo, con datos en vivo o con una fase fuera de esa cobertura puede mostrar diferencias, aunque el programa esté leyendo correctamente su recurso interno.</w:t>
      </w:r>
    </w:p>
    <w:p>
      <w:pPr>
        <w:ind w:firstLine="0"/>
      </w:pPr>
      <w:r>
        <w:rPr>
          <w:rFonts w:ascii="Times New Roman" w:hAnsi="Times New Roman"/>
          <w:b/>
          <w:sz w:val="24"/>
        </w:rPr>
        <w:t>Solución alternativa:</w:t>
      </w:r>
      <w:r>
        <w:rPr>
          <w:rFonts w:ascii="Times New Roman" w:hAnsi="Times New Roman"/>
          <w:sz w:val="24"/>
        </w:rPr>
        <w:t xml:space="preserve"> Comparar siempre contra la misma revisión OEM, el mismo intervalo, el marco EME2000 y UTC. Registrar el identificador o SHA-256 del archivo. Para incorporar una revisión nueva, sustituir el recurso mediante un proceso controlado y volver a validar el cargador.</w:t>
      </w:r>
    </w:p>
    <w:p>
      <w:pPr>
        <w:pStyle w:val="Heading2"/>
      </w:pPr>
      <w:r>
        <w:rPr>
          <w:rFonts w:ascii="Times New Roman" w:hAnsi="Times New Roman"/>
          <w:color w:val="694B92"/>
          <w:sz w:val="24"/>
        </w:rPr>
        <w:t>4.2 La trayectoria Artemis II no constituye una validación independiente</w:t>
      </w:r>
    </w:p>
    <w:p>
      <w:pPr>
        <w:ind w:firstLine="0"/>
      </w:pPr>
      <w:r>
        <w:rPr>
          <w:rFonts w:ascii="Times New Roman" w:hAnsi="Times New Roman"/>
          <w:b/>
          <w:sz w:val="24"/>
        </w:rPr>
        <w:t>Evidencia en AETHER 2.0:</w:t>
      </w:r>
      <w:r>
        <w:rPr>
          <w:rFonts w:ascii="Times New Roman" w:hAnsi="Times New Roman"/>
          <w:sz w:val="24"/>
        </w:rPr>
        <w:t xml:space="preserve"> Cuando la configuración coincide con el preajuste de referencia Artemis II, MissionSimulator selecciona ArtemisReferenceTrajectoryLoader y carga el OEM incluido; solo las configuraciones no compatibles pasan al propagador numérico de Orekit.</w:t>
      </w:r>
    </w:p>
    <w:p>
      <w:pPr>
        <w:ind w:firstLine="0"/>
      </w:pPr>
      <w:r>
        <w:rPr>
          <w:rFonts w:ascii="Times New Roman" w:hAnsi="Times New Roman"/>
          <w:b/>
          <w:sz w:val="24"/>
        </w:rPr>
        <w:t>Explicación:</w:t>
      </w:r>
      <w:r>
        <w:rPr>
          <w:rFonts w:ascii="Times New Roman" w:hAnsi="Times New Roman"/>
          <w:sz w:val="24"/>
        </w:rPr>
        <w:t xml:space="preserve"> La coincidencia visual con ese mismo OEM demuestra que el archivo fue leído y representado, pero no demuestra que el modelo dinámico propio pueda predecir de forma independiente la trayectoria de NASA.</w:t>
      </w:r>
    </w:p>
    <w:p>
      <w:pPr>
        <w:ind w:firstLine="0"/>
      </w:pPr>
      <w:r>
        <w:rPr>
          <w:rFonts w:ascii="Times New Roman" w:hAnsi="Times New Roman"/>
          <w:b/>
          <w:sz w:val="24"/>
        </w:rPr>
        <w:t>Impacto:</w:t>
      </w:r>
      <w:r>
        <w:rPr>
          <w:rFonts w:ascii="Times New Roman" w:hAnsi="Times New Roman"/>
          <w:sz w:val="24"/>
        </w:rPr>
        <w:t xml:space="preserve"> Usar el mismo conjunto de datos como entrada y como referencia puede producir una validación circular y sobreestimar la fidelidad del simulador.</w:t>
      </w:r>
    </w:p>
    <w:p>
      <w:pPr>
        <w:ind w:firstLine="0"/>
      </w:pPr>
      <w:r>
        <w:rPr>
          <w:rFonts w:ascii="Times New Roman" w:hAnsi="Times New Roman"/>
          <w:b/>
          <w:sz w:val="24"/>
        </w:rPr>
        <w:t>Solución alternativa:</w:t>
      </w:r>
      <w:r>
        <w:rPr>
          <w:rFonts w:ascii="Times New Roman" w:hAnsi="Times New Roman"/>
          <w:sz w:val="24"/>
        </w:rPr>
        <w:t xml:space="preserve"> Para validar el modelo, ejecutar una propagación independiente desde un estado inicial del OEM y reservar estados posteriores —no usados como entrada— como conjunto de comparación. Informar errores de posición y velocidad en tiempos comunes.</w:t>
      </w:r>
    </w:p>
    <w:p>
      <w:pPr>
        <w:pStyle w:val="Heading2"/>
      </w:pPr>
      <w:r>
        <w:rPr>
          <w:rFonts w:ascii="Times New Roman" w:hAnsi="Times New Roman"/>
          <w:color w:val="694B92"/>
          <w:sz w:val="24"/>
        </w:rPr>
        <w:t>4.3 Fidelidad limitada del modelo de fuerzas en misiones personalizadas</w:t>
      </w:r>
    </w:p>
    <w:p>
      <w:pPr>
        <w:ind w:firstLine="0"/>
      </w:pPr>
      <w:r>
        <w:rPr>
          <w:rFonts w:ascii="Times New Roman" w:hAnsi="Times New Roman"/>
          <w:b/>
          <w:sz w:val="24"/>
        </w:rPr>
        <w:t>Evidencia en AETHER 2.0:</w:t>
      </w:r>
      <w:r>
        <w:rPr>
          <w:rFonts w:ascii="Times New Roman" w:hAnsi="Times New Roman"/>
          <w:sz w:val="24"/>
        </w:rPr>
        <w:t xml:space="preserve"> El propagador principal usa Orekit 12.0.2, integración Dormand–Prince 8(5,3), gravedad terrestre armónica normalizada de grado y orden 8, y atracción de terceros cuerpos de la Luna y el Sol. La TLI se representa mediante una maniobra impulsiva. En el propagador inspeccionado no aparecen arrastre atmosférico, presión de radiación solar, empuje finito, actitud, mareas ni otras perturbaciones de alta fidelidad.</w:t>
      </w:r>
    </w:p>
    <w:p>
      <w:pPr>
        <w:ind w:firstLine="0"/>
      </w:pPr>
      <w:r>
        <w:rPr>
          <w:rFonts w:ascii="Times New Roman" w:hAnsi="Times New Roman"/>
          <w:b/>
          <w:sz w:val="24"/>
        </w:rPr>
        <w:t>Explicación:</w:t>
      </w:r>
      <w:r>
        <w:rPr>
          <w:rFonts w:ascii="Times New Roman" w:hAnsi="Times New Roman"/>
          <w:sz w:val="24"/>
        </w:rPr>
        <w:t xml:space="preserve"> El modelo es adecuado para análisis educativos y tendencias generales, pero no reproduce toda la dinámica empleada en una determinación o predicción operacional de órbita.</w:t>
      </w:r>
    </w:p>
    <w:p>
      <w:pPr>
        <w:ind w:firstLine="0"/>
      </w:pPr>
      <w:r>
        <w:rPr>
          <w:rFonts w:ascii="Times New Roman" w:hAnsi="Times New Roman"/>
          <w:b/>
          <w:sz w:val="24"/>
        </w:rPr>
        <w:t>Impacto:</w:t>
      </w:r>
      <w:r>
        <w:rPr>
          <w:rFonts w:ascii="Times New Roman" w:hAnsi="Times New Roman"/>
          <w:sz w:val="24"/>
        </w:rPr>
        <w:t xml:space="preserve"> Los errores pueden crecer con el tiempo y cerca de maniobras, reentrada o encuentros sensibles. Dos trayectorias con condiciones iniciales similares pueden separarse de manera apreciable.</w:t>
      </w:r>
    </w:p>
    <w:p>
      <w:pPr>
        <w:ind w:firstLine="0"/>
      </w:pPr>
      <w:r>
        <w:rPr>
          <w:rFonts w:ascii="Times New Roman" w:hAnsi="Times New Roman"/>
          <w:b/>
          <w:sz w:val="24"/>
        </w:rPr>
        <w:t>Solución alternativa:</w:t>
      </w:r>
      <w:r>
        <w:rPr>
          <w:rFonts w:ascii="Times New Roman" w:hAnsi="Times New Roman"/>
          <w:sz w:val="24"/>
        </w:rPr>
        <w:t xml:space="preserve"> Documentar los modelos activos en cada ejecución. Para estudios de mayor precisión, añadir fuerzas pertinentes al régimen de vuelo, calibrar tolerancias, representar quemados finitos y realizar análisis de sensibilidad frente a una efeméride independiente.</w:t>
      </w:r>
    </w:p>
    <w:p>
      <w:pPr>
        <w:pStyle w:val="Heading2"/>
      </w:pPr>
      <w:r>
        <w:rPr>
          <w:rFonts w:ascii="Times New Roman" w:hAnsi="Times New Roman"/>
          <w:color w:val="694B92"/>
          <w:sz w:val="24"/>
        </w:rPr>
        <w:t>4.4 Masa dinámica y combustible mostrado no representan la misma magnitud</w:t>
      </w:r>
    </w:p>
    <w:p>
      <w:pPr>
        <w:ind w:firstLine="0"/>
      </w:pPr>
      <w:r>
        <w:rPr>
          <w:rFonts w:ascii="Times New Roman" w:hAnsi="Times New Roman"/>
          <w:b/>
          <w:sz w:val="24"/>
        </w:rPr>
        <w:t>Evidencia en AETHER 2.0:</w:t>
      </w:r>
      <w:r>
        <w:rPr>
          <w:rFonts w:ascii="Times New Roman" w:hAnsi="Times New Roman"/>
          <w:sz w:val="24"/>
        </w:rPr>
        <w:t xml:space="preserve"> El estado inicial de Orekit recibe la masa configurada y la maniobra TLI usa ImpulseManeuver con un impulso específico de 320 s, por lo que no existe una omisión total de masa en esa maniobra. Sin embargo, MissionState no conserva la masa, y HelloController calcula el porcentaje de combustible a partir de la fracción de tiempo transcurrido mediante una curva predeterminada con un mínimo del 55 %.</w:t>
      </w:r>
    </w:p>
    <w:p>
      <w:pPr>
        <w:ind w:firstLine="0"/>
      </w:pPr>
      <w:r>
        <w:rPr>
          <w:rFonts w:ascii="Times New Roman" w:hAnsi="Times New Roman"/>
          <w:b/>
          <w:sz w:val="24"/>
        </w:rPr>
        <w:t>Explicación:</w:t>
      </w:r>
      <w:r>
        <w:rPr>
          <w:rFonts w:ascii="Times New Roman" w:hAnsi="Times New Roman"/>
          <w:sz w:val="24"/>
        </w:rPr>
        <w:t xml:space="preserve"> El indicador de combustible de la interfaz es una representación de presentación; no se deriva de la masa restante calculada por el propagador, de tanques, caudal, mezcla o consumo real por motor.</w:t>
      </w:r>
    </w:p>
    <w:p>
      <w:pPr>
        <w:ind w:firstLine="0"/>
      </w:pPr>
      <w:r>
        <w:rPr>
          <w:rFonts w:ascii="Times New Roman" w:hAnsi="Times New Roman"/>
          <w:b/>
          <w:sz w:val="24"/>
        </w:rPr>
        <w:t>Impacto:</w:t>
      </w:r>
      <w:r>
        <w:rPr>
          <w:rFonts w:ascii="Times New Roman" w:hAnsi="Times New Roman"/>
          <w:sz w:val="24"/>
        </w:rPr>
        <w:t xml:space="preserve"> El usuario puede interpretar un porcentaje visual como combustible físicamente disponible y usarlo para conclusiones que el modelo no sustenta.</w:t>
      </w:r>
    </w:p>
    <w:p>
      <w:pPr>
        <w:ind w:firstLine="0"/>
      </w:pPr>
      <w:r>
        <w:rPr>
          <w:rFonts w:ascii="Times New Roman" w:hAnsi="Times New Roman"/>
          <w:b/>
          <w:sz w:val="24"/>
        </w:rPr>
        <w:t>Solución alternativa:</w:t>
      </w:r>
      <w:r>
        <w:rPr>
          <w:rFonts w:ascii="Times New Roman" w:hAnsi="Times New Roman"/>
          <w:sz w:val="24"/>
        </w:rPr>
        <w:t xml:space="preserve"> Etiquetar el valor como «estimación visual» o «combustible ilustrativo». Para convertirlo en una magnitud física, conservar la masa en MissionState, definir masa seca y propulsor inicial, y calcular el consumo desde el estado propagado o mediante modelos de empuje y caudal.</w:t>
      </w:r>
    </w:p>
    <w:p>
      <w:pPr>
        <w:pStyle w:val="Heading2"/>
      </w:pPr>
      <w:r>
        <w:rPr>
          <w:rFonts w:ascii="Times New Roman" w:hAnsi="Times New Roman"/>
          <w:color w:val="694B92"/>
          <w:sz w:val="24"/>
        </w:rPr>
        <w:t>4.5 Época fija para las misiones personalizadas</w:t>
      </w:r>
    </w:p>
    <w:p>
      <w:pPr>
        <w:ind w:firstLine="0"/>
      </w:pPr>
      <w:r>
        <w:rPr>
          <w:rFonts w:ascii="Times New Roman" w:hAnsi="Times New Roman"/>
          <w:b/>
          <w:sz w:val="24"/>
        </w:rPr>
        <w:t>Evidencia en AETHER 2.0:</w:t>
      </w:r>
      <w:r>
        <w:rPr>
          <w:rFonts w:ascii="Times New Roman" w:hAnsi="Times New Roman"/>
          <w:sz w:val="24"/>
        </w:rPr>
        <w:t xml:space="preserve"> OrbitFactory construye la órbita inicial en EME2000 con la fecha fija 20 de julio de 2026 a las 12:00:00 UTC. MissionConfig permite modificar elementos orbitales, masa, duración y parámetros TLI, pero no expone una época inicial general. El OEM Artemis II, en cambio, comienza el 2 de abril de 2026.</w:t>
      </w:r>
    </w:p>
    <w:p>
      <w:pPr>
        <w:ind w:firstLine="0"/>
      </w:pPr>
      <w:r>
        <w:rPr>
          <w:rFonts w:ascii="Times New Roman" w:hAnsi="Times New Roman"/>
          <w:b/>
          <w:sz w:val="24"/>
        </w:rPr>
        <w:t>Explicación:</w:t>
      </w:r>
      <w:r>
        <w:rPr>
          <w:rFonts w:ascii="Times New Roman" w:hAnsi="Times New Roman"/>
          <w:sz w:val="24"/>
        </w:rPr>
        <w:t xml:space="preserve"> Las posiciones del Sol y la Luna, la orientación terrestre y la geometría de encuentro dependen de la época. Cambiar elementos orbitales sin cambiar la fecha no representa automáticamente otra ventana real de misión.</w:t>
      </w:r>
    </w:p>
    <w:p>
      <w:pPr>
        <w:ind w:firstLine="0"/>
      </w:pPr>
      <w:r>
        <w:rPr>
          <w:rFonts w:ascii="Times New Roman" w:hAnsi="Times New Roman"/>
          <w:b/>
          <w:sz w:val="24"/>
        </w:rPr>
        <w:t>Impacto:</w:t>
      </w:r>
      <w:r>
        <w:rPr>
          <w:rFonts w:ascii="Times New Roman" w:hAnsi="Times New Roman"/>
          <w:sz w:val="24"/>
        </w:rPr>
        <w:t xml:space="preserve"> Comparar una misión personalizada con datos de otra fecha puede producir discrepancias que no provienen del integrador, sino de una geometría celeste distinta.</w:t>
      </w:r>
    </w:p>
    <w:p>
      <w:pPr>
        <w:ind w:firstLine="0"/>
      </w:pPr>
      <w:r>
        <w:rPr>
          <w:rFonts w:ascii="Times New Roman" w:hAnsi="Times New Roman"/>
          <w:b/>
          <w:sz w:val="24"/>
        </w:rPr>
        <w:t>Solución alternativa:</w:t>
      </w:r>
      <w:r>
        <w:rPr>
          <w:rFonts w:ascii="Times New Roman" w:hAnsi="Times New Roman"/>
          <w:sz w:val="24"/>
        </w:rPr>
        <w:t xml:space="preserve"> Incorporar una época editable y almacenarla en los reportes. Antes de comparar, convertir todos los estados al mismo marco, escala temporal y fecha. Si no se modifica el programa, declarar explícitamente la época fija junto con cada resultado personalizado.</w:t>
      </w:r>
    </w:p>
    <w:p>
      <w:pPr>
        <w:pStyle w:val="Heading2"/>
      </w:pPr>
      <w:r>
        <w:rPr>
          <w:rFonts w:ascii="Times New Roman" w:hAnsi="Times New Roman"/>
          <w:color w:val="694B92"/>
          <w:sz w:val="24"/>
        </w:rPr>
        <w:t>4.6 Muestreo y precisión de eventos</w:t>
      </w:r>
    </w:p>
    <w:p>
      <w:pPr>
        <w:ind w:firstLine="0"/>
      </w:pPr>
      <w:r>
        <w:rPr>
          <w:rFonts w:ascii="Times New Roman" w:hAnsi="Times New Roman"/>
          <w:b/>
          <w:sz w:val="24"/>
        </w:rPr>
        <w:t>Evidencia en AETHER 2.0:</w:t>
      </w:r>
      <w:r>
        <w:rPr>
          <w:rFonts w:ascii="Times New Roman" w:hAnsi="Times New Roman"/>
          <w:sz w:val="24"/>
        </w:rPr>
        <w:t xml:space="preserve"> La trayectoria numérica se normaliza a aproximadamente 500 muestras durante la duración seleccionada. El periapsis lunar se identifica buscando la menor distancia entre los estados muestreados y se reporta como «aproximado». La interfaz de reentrada se detecta a 120 km. El OEM NASA conserva su muestreo irregular original.</w:t>
      </w:r>
    </w:p>
    <w:p>
      <w:pPr>
        <w:ind w:firstLine="0"/>
      </w:pPr>
      <w:r>
        <w:rPr>
          <w:rFonts w:ascii="Times New Roman" w:hAnsi="Times New Roman"/>
          <w:b/>
          <w:sz w:val="24"/>
        </w:rPr>
        <w:t>Explicación:</w:t>
      </w:r>
      <w:r>
        <w:rPr>
          <w:rFonts w:ascii="Times New Roman" w:hAnsi="Times New Roman"/>
          <w:sz w:val="24"/>
        </w:rPr>
        <w:t xml:space="preserve"> El mínimo de una lista de muestras no necesariamente coincide con el instante físico exacto del periapsis. La densidad de puntos también cambia entre el modo OEM y la propagación personalizada.</w:t>
      </w:r>
    </w:p>
    <w:p>
      <w:pPr>
        <w:ind w:firstLine="0"/>
      </w:pPr>
      <w:r>
        <w:rPr>
          <w:rFonts w:ascii="Times New Roman" w:hAnsi="Times New Roman"/>
          <w:b/>
          <w:sz w:val="24"/>
        </w:rPr>
        <w:t>Impacto:</w:t>
      </w:r>
      <w:r>
        <w:rPr>
          <w:rFonts w:ascii="Times New Roman" w:hAnsi="Times New Roman"/>
          <w:sz w:val="24"/>
        </w:rPr>
        <w:t xml:space="preserve"> La hora y distancia de un evento pueden quedar cuantizadas por el intervalo de muestreo, especialmente si se solicita una duración larga.</w:t>
      </w:r>
    </w:p>
    <w:p>
      <w:pPr>
        <w:ind w:firstLine="0"/>
      </w:pPr>
      <w:r>
        <w:rPr>
          <w:rFonts w:ascii="Times New Roman" w:hAnsi="Times New Roman"/>
          <w:b/>
          <w:sz w:val="24"/>
        </w:rPr>
        <w:t>Solución alternativa:</w:t>
      </w:r>
      <w:r>
        <w:rPr>
          <w:rFonts w:ascii="Times New Roman" w:hAnsi="Times New Roman"/>
          <w:sz w:val="24"/>
        </w:rPr>
        <w:t xml:space="preserve"> Refinar localmente el intervalo alrededor del evento, usar un detector basado en la raíz de la derivada de la distancia lunar y comparar estados mediante interpolación en tiempos comunes. Informar siempre la resolución temporal utilizada.</w:t>
      </w:r>
    </w:p>
    <w:p>
      <w:pPr>
        <w:pStyle w:val="Heading2"/>
      </w:pPr>
      <w:r>
        <w:rPr>
          <w:rFonts w:ascii="Times New Roman" w:hAnsi="Times New Roman"/>
          <w:color w:val="694B92"/>
          <w:sz w:val="24"/>
        </w:rPr>
        <w:t>4.7 Visualización 3D esquemática y escala no física</w:t>
      </w:r>
    </w:p>
    <w:p>
      <w:pPr>
        <w:ind w:firstLine="0"/>
      </w:pPr>
      <w:r>
        <w:rPr>
          <w:rFonts w:ascii="Times New Roman" w:hAnsi="Times New Roman"/>
          <w:b/>
          <w:sz w:val="24"/>
        </w:rPr>
        <w:t>Evidencia en AETHER 2.0:</w:t>
      </w:r>
      <w:r>
        <w:rPr>
          <w:rFonts w:ascii="Times New Roman" w:hAnsi="Times New Roman"/>
          <w:sz w:val="24"/>
        </w:rPr>
        <w:t xml:space="preserve"> MissionState almacena X, Y y Z, y MissionMap3D usa una escena tridimensional; por ello, «alcance 2D» no describe correctamente esta versión. Sin embargo, MissionTrajectoryProjector aplica una lente de visualización, expande las regiones próximas a la Tierra y la Luna, inclina la vista lunar 18°, representa la separación Tierra–Luna con 300 unidades y usa radios visuales de 16 y 12.5 unidades. La ruta se limita a 680 puntos y la estela a 96.</w:t>
      </w:r>
    </w:p>
    <w:p>
      <w:pPr>
        <w:ind w:firstLine="0"/>
      </w:pPr>
      <w:r>
        <w:rPr>
          <w:rFonts w:ascii="Times New Roman" w:hAnsi="Times New Roman"/>
          <w:b/>
          <w:sz w:val="24"/>
        </w:rPr>
        <w:t>Explicación:</w:t>
      </w:r>
      <w:r>
        <w:rPr>
          <w:rFonts w:ascii="Times New Roman" w:hAnsi="Times New Roman"/>
          <w:sz w:val="24"/>
        </w:rPr>
        <w:t xml:space="preserve"> La escena está diseñada para legibilidad, no como reproducción geométrica a escala. Tamaños aparentes, curvatura y separación en pantalla no deben medirse como distancias físicas.</w:t>
      </w:r>
    </w:p>
    <w:p>
      <w:pPr>
        <w:ind w:firstLine="0"/>
      </w:pPr>
      <w:r>
        <w:rPr>
          <w:rFonts w:ascii="Times New Roman" w:hAnsi="Times New Roman"/>
          <w:b/>
          <w:sz w:val="24"/>
        </w:rPr>
        <w:t>Impacto:</w:t>
      </w:r>
      <w:r>
        <w:rPr>
          <w:rFonts w:ascii="Times New Roman" w:hAnsi="Times New Roman"/>
          <w:sz w:val="24"/>
        </w:rPr>
        <w:t xml:space="preserve"> Una medición hecha sobre el mapa o una captura puede contradecir los valores numéricos aun cuando las coordenadas internas sean correctas.</w:t>
      </w:r>
    </w:p>
    <w:p>
      <w:pPr>
        <w:ind w:firstLine="0"/>
      </w:pPr>
      <w:r>
        <w:rPr>
          <w:rFonts w:ascii="Times New Roman" w:hAnsi="Times New Roman"/>
          <w:b/>
          <w:sz w:val="24"/>
        </w:rPr>
        <w:t>Solución alternativa:</w:t>
      </w:r>
      <w:r>
        <w:rPr>
          <w:rFonts w:ascii="Times New Roman" w:hAnsi="Times New Roman"/>
          <w:sz w:val="24"/>
        </w:rPr>
        <w:t xml:space="preserve"> Presentar el mapa como «vista 3D esquemática, no a escala». Usar coordenadas, velocidades y distancias numéricas para el análisis. Cuando se requiera fidelidad geométrica, ofrecer una vista adicional sin lente y con escala uniforme.</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76" w:lineRule="auto"/>
      <w:outlineLvl w:val="0"/>
    </w:pPr>
    <w:rPr>
      <w:rFonts w:asciiTheme="majorHAnsi" w:eastAsiaTheme="majorEastAsia" w:hAnsiTheme="majorHAnsi" w:cstheme="majorBidi" w:ascii="Times New Roman" w:hAnsi="Times New Roman"/>
      <w:b/>
      <w:bCs/>
      <w:color w:val="694B92"/>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Times New Roman" w:hAnsi="Times New Roman"/>
      <w:b/>
      <w:bCs/>
      <w:color w:val="694B92"/>
      <w:sz w:val="24"/>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heme="majorHAnsi" w:eastAsiaTheme="majorEastAsia" w:hAnsiTheme="majorHAnsi" w:cstheme="majorBidi" w:ascii="Times New Roman" w:hAnsi="Times New Roman"/>
      <w:b/>
      <w:bCs/>
      <w:color w:val="694B9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480" w:lineRule="auto" w:after="0"/>
      <w:ind w:left="360" w:firstLine="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line="240" w:lineRule="auto" w:before="80" w:after="80"/>
      <w:ind w:left="504" w:right="288" w:firstLine="0"/>
    </w:pPr>
    <w:rPr>
      <w:rFonts w:ascii="Courier New" w:hAnsi="Courier New"/>
      <w:sz w:val="20"/>
    </w:rPr>
  </w:style>
  <w:style w:type="paragraph" w:customStyle="1" w:styleId="CaptionAether">
    <w:name w:val="Caption Aether"/>
    <w:pPr>
      <w:spacing w:line="240" w:lineRule="auto" w:before="60" w:after="160"/>
      <w:ind w:firstLine="0"/>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2.0 - Manual de usuario</dc:title>
  <dc:subject>Entregable #6 - Documentación y Empaquetado</dc:subject>
  <dc:creator>Equipo AETHER</dc:creator>
  <cp:keywords>AETHER, INF-272, manual de usuario, Orekit, JavaFX</cp:keywords>
  <dc:description>generated by python-docx</dc:description>
  <cp:lastModifiedBy/>
  <cp:revision>1</cp:revision>
  <dcterms:created xsi:type="dcterms:W3CDTF">2013-12-23T23:15:00Z</dcterms:created>
  <dcterms:modified xsi:type="dcterms:W3CDTF">2013-12-23T23:15:00Z</dcterms:modified>
  <cp:category/>
</cp:coreProperties>
</file>