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05"/>
        <w:tblGridChange w:id="0">
          <w:tblGrid>
            <w:gridCol w:w="2280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35"/>
        <w:tblGridChange w:id="0">
          <w:tblGrid>
            <w:gridCol w:w="2280"/>
            <w:gridCol w:w="7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Experiment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spacing w:after="160" w:line="24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  <w:rtl w:val="0"/>
              </w:rPr>
              <w:t xml:space="preserve">Authenticate the user by measuring the degree of similarity between stored audio Password and Test Audio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1.Record Audio Password and filter the noise x[n].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2. Play the recorded Audio signal x[n].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3. Record Test Audio Password and filter the noise y[n].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4. Play the recorded Test Audio signal y[n].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5. Calculate Coefficient of Correlation r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6. Authenticate the user by selecting appropriate Threshold value (Anything &gt; 0.9)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07568359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When Audio and password are different.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2260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When Audio and password are same.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2019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