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8D339" w14:textId="77777777" w:rsidR="00496798" w:rsidRPr="004B0441" w:rsidRDefault="00496798" w:rsidP="00AA3572">
      <w:r w:rsidRPr="004B0441">
        <w:t>Darious Brown</w:t>
      </w:r>
    </w:p>
    <w:p w14:paraId="7FCC2325" w14:textId="77777777" w:rsidR="00496798" w:rsidRPr="004B0441" w:rsidRDefault="00496798" w:rsidP="00AA3572">
      <w:r w:rsidRPr="004B0441">
        <w:t>DSC680</w:t>
      </w:r>
    </w:p>
    <w:p w14:paraId="556D42CB" w14:textId="77777777" w:rsidR="00496798" w:rsidRPr="004B0441" w:rsidRDefault="00496798" w:rsidP="00AA3572">
      <w:r w:rsidRPr="004B0441">
        <w:t>Week</w:t>
      </w:r>
      <w:r w:rsidR="001A6E95" w:rsidRPr="004B0441">
        <w:t xml:space="preserve"> 4</w:t>
      </w:r>
      <w:r w:rsidRPr="004B0441">
        <w:t xml:space="preserve"> </w:t>
      </w:r>
    </w:p>
    <w:p w14:paraId="5BA8456E" w14:textId="77777777" w:rsidR="00496798" w:rsidRPr="004B0441" w:rsidRDefault="00A631A3" w:rsidP="00AA3572">
      <w:r w:rsidRPr="004B0441">
        <w:t>2</w:t>
      </w:r>
      <w:r w:rsidR="00D07F19" w:rsidRPr="004B0441">
        <w:t>7</w:t>
      </w:r>
      <w:r w:rsidR="00496798" w:rsidRPr="004B0441">
        <w:t>Jun25</w:t>
      </w:r>
    </w:p>
    <w:p w14:paraId="617C6513" w14:textId="77777777" w:rsidR="00AA3572" w:rsidRPr="004B0441" w:rsidRDefault="00AA3572" w:rsidP="00AA3572">
      <w:pPr>
        <w:rPr>
          <w:b/>
          <w:bCs/>
        </w:rPr>
      </w:pPr>
      <w:r w:rsidRPr="004B0441">
        <w:rPr>
          <w:b/>
          <w:bCs/>
        </w:rPr>
        <w:t xml:space="preserve">Milestone </w:t>
      </w:r>
      <w:r w:rsidR="005A4BAD">
        <w:rPr>
          <w:b/>
          <w:bCs/>
        </w:rPr>
        <w:t>1</w:t>
      </w:r>
      <w:r w:rsidRPr="004B0441">
        <w:rPr>
          <w:b/>
          <w:bCs/>
        </w:rPr>
        <w:t xml:space="preserve"> </w:t>
      </w:r>
      <w:r w:rsidR="00A631A3" w:rsidRPr="004B0441">
        <w:rPr>
          <w:b/>
          <w:bCs/>
        </w:rPr>
        <w:t>–</w:t>
      </w:r>
      <w:r w:rsidRPr="004B0441">
        <w:rPr>
          <w:b/>
          <w:bCs/>
        </w:rPr>
        <w:t xml:space="preserve"> Proposal</w:t>
      </w:r>
    </w:p>
    <w:p w14:paraId="7C3E7B1E" w14:textId="77777777" w:rsidR="00AA3572" w:rsidRPr="004B0441" w:rsidRDefault="00AA3572" w:rsidP="00AA3572">
      <w:pPr>
        <w:rPr>
          <w:b/>
          <w:bCs/>
        </w:rPr>
      </w:pPr>
      <w:r w:rsidRPr="004B0441">
        <w:rPr>
          <w:b/>
          <w:bCs/>
        </w:rPr>
        <w:t>Title</w:t>
      </w:r>
    </w:p>
    <w:p w14:paraId="04061959" w14:textId="77777777" w:rsidR="00AA3572" w:rsidRPr="004B0441" w:rsidRDefault="00AA3572" w:rsidP="00AA3572">
      <w:r w:rsidRPr="004B0441">
        <w:t>Big Pharma Pricing: Analyzing Patient Drug Costs in the U.S.</w:t>
      </w:r>
    </w:p>
    <w:p w14:paraId="790730F0" w14:textId="77777777" w:rsidR="00AA3572" w:rsidRPr="004B0441" w:rsidRDefault="00AA3572" w:rsidP="00AA3572">
      <w:pPr>
        <w:rPr>
          <w:b/>
          <w:bCs/>
        </w:rPr>
      </w:pPr>
      <w:r w:rsidRPr="004B0441">
        <w:rPr>
          <w:b/>
          <w:bCs/>
        </w:rPr>
        <w:t>Topic</w:t>
      </w:r>
    </w:p>
    <w:p w14:paraId="23ED5D94" w14:textId="77777777" w:rsidR="00AA3572" w:rsidRPr="004B0441" w:rsidRDefault="00AA3572" w:rsidP="00AA3572">
      <w:r w:rsidRPr="004B0441">
        <w:t>This project will explore healthcare drug prices by analyzing out-of-pocket patient costs and price variations among frequently prescribed pharmaceuticals in the United States.</w:t>
      </w:r>
    </w:p>
    <w:p w14:paraId="642BA9F1" w14:textId="77777777" w:rsidR="00AA3572" w:rsidRPr="004B0441" w:rsidRDefault="00AA3572" w:rsidP="00AA3572">
      <w:pPr>
        <w:rPr>
          <w:b/>
          <w:bCs/>
        </w:rPr>
      </w:pPr>
      <w:r w:rsidRPr="004B0441">
        <w:rPr>
          <w:b/>
          <w:bCs/>
        </w:rPr>
        <w:t>Business Problem</w:t>
      </w:r>
    </w:p>
    <w:p w14:paraId="7A235EB6" w14:textId="77777777" w:rsidR="00DA4C4F" w:rsidRPr="004B0441" w:rsidRDefault="00274C64" w:rsidP="00274C64">
      <w:pPr>
        <w:ind w:firstLine="720"/>
        <w:rPr>
          <w:color w:val="000000"/>
        </w:rPr>
      </w:pPr>
      <w:r w:rsidRPr="004B0441">
        <w:rPr>
          <w:color w:val="000000"/>
        </w:rPr>
        <w:t>Rising drug costs are a major concern for patients and policymakers alike. This project aims to address the question:</w:t>
      </w:r>
      <w:r w:rsidRPr="004B0441">
        <w:rPr>
          <w:rStyle w:val="apple-converted-space"/>
          <w:color w:val="000000"/>
        </w:rPr>
        <w:t> </w:t>
      </w:r>
      <w:r w:rsidRPr="004B0441">
        <w:rPr>
          <w:rStyle w:val="Emphasis"/>
          <w:color w:val="000000"/>
        </w:rPr>
        <w:t>Which medications cost patients the most, and what patterns exist in pricing among brand-name vs. generic drugs?</w:t>
      </w:r>
      <w:r w:rsidRPr="004B0441">
        <w:rPr>
          <w:rStyle w:val="apple-converted-space"/>
          <w:color w:val="000000"/>
        </w:rPr>
        <w:t> </w:t>
      </w:r>
      <w:r w:rsidRPr="004B0441">
        <w:rPr>
          <w:color w:val="000000"/>
        </w:rPr>
        <w:t>The findings will help consumers, healthcare providers, and insurers understand high-cost burdens and possibly identify cost-saving alternatives and shed light on areas where big pharma could save money by cutting waste costs. The U.S. spends more per capita on prescription drugs than any other high-income country, yet patient outcomes do not consistently reflect this investment (KFF, 2023). Understanding which drugs account for the highest expenditures can guide more equitable and evidence-based prescribing practices (Sood et al., 2017). Additionally, identifying discrepancies in pricing across drug categories may support future regulatory efforts to cap excessive markups and promote price transparency (</w:t>
      </w:r>
      <w:proofErr w:type="spellStart"/>
      <w:r w:rsidRPr="004B0441">
        <w:rPr>
          <w:color w:val="000000"/>
        </w:rPr>
        <w:t>Dusetzina</w:t>
      </w:r>
      <w:proofErr w:type="spellEnd"/>
      <w:r w:rsidRPr="004B0441">
        <w:rPr>
          <w:color w:val="000000"/>
        </w:rPr>
        <w:t xml:space="preserve"> et al., 2022).</w:t>
      </w:r>
    </w:p>
    <w:p w14:paraId="39F555FE" w14:textId="77777777" w:rsidR="00AA3572" w:rsidRPr="004B0441" w:rsidRDefault="00AA3572" w:rsidP="00DA4C4F">
      <w:pPr>
        <w:rPr>
          <w:b/>
          <w:bCs/>
        </w:rPr>
      </w:pPr>
      <w:r w:rsidRPr="004B0441">
        <w:rPr>
          <w:b/>
          <w:bCs/>
        </w:rPr>
        <w:t>Datasets</w:t>
      </w:r>
    </w:p>
    <w:p w14:paraId="13F0BE14" w14:textId="77777777" w:rsidR="003670D4" w:rsidRPr="004B0441" w:rsidRDefault="00AC30A8" w:rsidP="003670D4">
      <w:pPr>
        <w:pStyle w:val="NormalWeb"/>
        <w:rPr>
          <w:rStyle w:val="relative"/>
          <w:rFonts w:asciiTheme="minorHAnsi" w:hAnsiTheme="minorHAnsi"/>
          <w:i/>
          <w:iCs/>
        </w:rPr>
      </w:pPr>
      <w:r w:rsidRPr="004B0441">
        <w:rPr>
          <w:rFonts w:asciiTheme="minorHAnsi" w:hAnsiTheme="minorHAnsi" w:cs="Arial"/>
          <w:i/>
          <w:iCs/>
          <w:color w:val="212121"/>
          <w:shd w:val="clear" w:color="auto" w:fill="FFFFFF"/>
        </w:rPr>
        <w:t>‘T</w:t>
      </w:r>
      <w:r w:rsidR="006D055E" w:rsidRPr="004B0441">
        <w:rPr>
          <w:rFonts w:asciiTheme="minorHAnsi" w:hAnsiTheme="minorHAnsi" w:cs="Arial"/>
          <w:i/>
          <w:iCs/>
          <w:color w:val="212121"/>
          <w:shd w:val="clear" w:color="auto" w:fill="FFFFFF"/>
        </w:rPr>
        <w:t>his dataset is based on information gathered from CMS administrative claims data for Medicare beneficiaries enrolled in the Part D program available from the CMS Chronic Condition Data Warehouse. The data are summarized from 100% final-action Part D prescription drug claims. Prescription drug claims identified as "</w:t>
      </w:r>
      <w:proofErr w:type="gramStart"/>
      <w:r w:rsidR="006D055E" w:rsidRPr="004B0441">
        <w:rPr>
          <w:rFonts w:asciiTheme="minorHAnsi" w:hAnsiTheme="minorHAnsi" w:cs="Arial"/>
          <w:i/>
          <w:iCs/>
          <w:color w:val="212121"/>
          <w:shd w:val="clear" w:color="auto" w:fill="FFFFFF"/>
        </w:rPr>
        <w:t>over-the-counter</w:t>
      </w:r>
      <w:proofErr w:type="gramEnd"/>
      <w:r w:rsidR="006D055E" w:rsidRPr="004B0441">
        <w:rPr>
          <w:rFonts w:asciiTheme="minorHAnsi" w:hAnsiTheme="minorHAnsi" w:cs="Arial"/>
          <w:i/>
          <w:iCs/>
          <w:color w:val="212121"/>
          <w:shd w:val="clear" w:color="auto" w:fill="FFFFFF"/>
        </w:rPr>
        <w:t>" are excluded.</w:t>
      </w:r>
      <w:r w:rsidR="00496798" w:rsidRPr="004B0441">
        <w:rPr>
          <w:rFonts w:asciiTheme="minorHAnsi" w:hAnsiTheme="minorHAnsi"/>
          <w:i/>
          <w:iCs/>
        </w:rPr>
        <w:t xml:space="preserve"> </w:t>
      </w:r>
      <w:r w:rsidR="00496798" w:rsidRPr="004B0441">
        <w:rPr>
          <w:rFonts w:asciiTheme="minorHAnsi" w:hAnsiTheme="minorHAnsi"/>
          <w:b/>
          <w:bCs/>
          <w:i/>
          <w:iCs/>
        </w:rPr>
        <w:t>Healthcare</w:t>
      </w:r>
      <w:r w:rsidR="00764DF5" w:rsidRPr="004B0441">
        <w:rPr>
          <w:rStyle w:val="Strong"/>
          <w:rFonts w:asciiTheme="minorHAnsi" w:eastAsiaTheme="majorEastAsia" w:hAnsiTheme="minorHAnsi"/>
          <w:b w:val="0"/>
          <w:bCs w:val="0"/>
          <w:i/>
          <w:iCs/>
        </w:rPr>
        <w:t xml:space="preserve"> </w:t>
      </w:r>
      <w:r w:rsidR="00764DF5" w:rsidRPr="004B0441">
        <w:rPr>
          <w:rStyle w:val="Strong"/>
          <w:rFonts w:asciiTheme="minorHAnsi" w:eastAsiaTheme="majorEastAsia" w:hAnsiTheme="minorHAnsi"/>
          <w:i/>
          <w:iCs/>
        </w:rPr>
        <w:t>Payments Dataset on</w:t>
      </w:r>
      <w:r w:rsidR="00496798" w:rsidRPr="004B0441">
        <w:rPr>
          <w:rStyle w:val="Strong"/>
          <w:rFonts w:asciiTheme="minorHAnsi" w:eastAsiaTheme="majorEastAsia" w:hAnsiTheme="minorHAnsi"/>
          <w:i/>
          <w:iCs/>
        </w:rPr>
        <w:t>:</w:t>
      </w:r>
      <w:r w:rsidR="00764DF5" w:rsidRPr="004B0441">
        <w:rPr>
          <w:rStyle w:val="Strong"/>
          <w:rFonts w:asciiTheme="minorHAnsi" w:eastAsiaTheme="majorEastAsia" w:hAnsiTheme="minorHAnsi"/>
          <w:i/>
          <w:iCs/>
        </w:rPr>
        <w:t xml:space="preserve"> HealthData.gov</w:t>
      </w:r>
      <w:r w:rsidRPr="004B0441">
        <w:rPr>
          <w:rStyle w:val="Strong"/>
          <w:rFonts w:asciiTheme="minorHAnsi" w:eastAsiaTheme="majorEastAsia" w:hAnsiTheme="minorHAnsi"/>
          <w:b w:val="0"/>
          <w:bCs w:val="0"/>
          <w:i/>
          <w:iCs/>
        </w:rPr>
        <w:t>’</w:t>
      </w:r>
    </w:p>
    <w:p w14:paraId="15B8BFB6" w14:textId="77777777" w:rsidR="00DE53D2" w:rsidRPr="004B0441" w:rsidRDefault="00DE53D2" w:rsidP="00DE53D2">
      <w:pPr>
        <w:pStyle w:val="NormalWeb"/>
        <w:numPr>
          <w:ilvl w:val="0"/>
          <w:numId w:val="2"/>
        </w:numPr>
        <w:rPr>
          <w:rFonts w:asciiTheme="minorHAnsi" w:hAnsiTheme="minorHAnsi"/>
          <w:b/>
          <w:bCs/>
        </w:rPr>
      </w:pPr>
      <w:r w:rsidRPr="004B0441">
        <w:rPr>
          <w:rStyle w:val="relative"/>
          <w:rFonts w:asciiTheme="minorHAnsi" w:eastAsiaTheme="majorEastAsia" w:hAnsiTheme="minorHAnsi"/>
        </w:rPr>
        <w:t>Medicare Part D Spending by Drug CSV</w:t>
      </w:r>
      <w:r w:rsidR="00764DF5" w:rsidRPr="004B0441">
        <w:rPr>
          <w:rStyle w:val="relative"/>
          <w:rFonts w:asciiTheme="minorHAnsi" w:eastAsiaTheme="majorEastAsia" w:hAnsiTheme="minorHAnsi"/>
        </w:rPr>
        <w:t>:</w:t>
      </w:r>
      <w:r w:rsidR="00764DF5" w:rsidRPr="004B0441">
        <w:rPr>
          <w:rFonts w:asciiTheme="minorHAnsi" w:hAnsiTheme="minorHAnsi"/>
        </w:rPr>
        <w:br/>
      </w:r>
      <w:hyperlink r:id="rId5" w:history="1">
        <w:r w:rsidRPr="004B0441">
          <w:rPr>
            <w:rStyle w:val="Hyperlink"/>
            <w:rFonts w:asciiTheme="minorHAnsi" w:hAnsiTheme="minorHAnsi"/>
          </w:rPr>
          <w:t>https://data.cms.gov/summary-statistics-on-use-and-payments/medicare-</w:t>
        </w:r>
        <w:r w:rsidRPr="004B0441">
          <w:rPr>
            <w:rStyle w:val="Hyperlink"/>
            <w:rFonts w:asciiTheme="minorHAnsi" w:hAnsiTheme="minorHAnsi"/>
          </w:rPr>
          <w:lastRenderedPageBreak/>
          <w:t>medicaid-spending-by-drug/medicare-part-d-spending-by-drug?utm_source=chatgpt.com</w:t>
        </w:r>
      </w:hyperlink>
    </w:p>
    <w:p w14:paraId="6B9F76AA" w14:textId="77777777" w:rsidR="00AA3572" w:rsidRPr="004B0441" w:rsidRDefault="00AA3572" w:rsidP="00DE53D2">
      <w:pPr>
        <w:pStyle w:val="NormalWeb"/>
        <w:numPr>
          <w:ilvl w:val="0"/>
          <w:numId w:val="2"/>
        </w:numPr>
        <w:rPr>
          <w:rFonts w:asciiTheme="minorHAnsi" w:hAnsiTheme="minorHAnsi"/>
          <w:b/>
          <w:bCs/>
        </w:rPr>
      </w:pPr>
      <w:r w:rsidRPr="004B0441">
        <w:rPr>
          <w:rFonts w:asciiTheme="minorHAnsi" w:hAnsiTheme="minorHAnsi"/>
        </w:rPr>
        <w:t>This analysis will use:</w:t>
      </w:r>
    </w:p>
    <w:p w14:paraId="5F9857E2" w14:textId="77777777" w:rsidR="00AA3572" w:rsidRPr="004B0441" w:rsidRDefault="00AA3572" w:rsidP="00AA3572">
      <w:r w:rsidRPr="004B0441">
        <w:t>* Exploratory Data Analysis (EDA)</w:t>
      </w:r>
    </w:p>
    <w:p w14:paraId="72706A2A" w14:textId="77777777" w:rsidR="00AA3572" w:rsidRPr="004B0441" w:rsidRDefault="00AA3572" w:rsidP="00AA3572">
      <w:r w:rsidRPr="004B0441">
        <w:t>* Descriptive statistics (mean, median, IQR)</w:t>
      </w:r>
    </w:p>
    <w:p w14:paraId="5DA5D121" w14:textId="77777777" w:rsidR="00AA3572" w:rsidRPr="004B0441" w:rsidRDefault="00AA3572" w:rsidP="00AA3572">
      <w:r w:rsidRPr="004B0441">
        <w:t>* Comparative analysis between generic and brand-name drug pricing</w:t>
      </w:r>
    </w:p>
    <w:p w14:paraId="3D54D334" w14:textId="77777777" w:rsidR="00AA3572" w:rsidRPr="004B0441" w:rsidRDefault="00AA3572" w:rsidP="00AA3572">
      <w:r w:rsidRPr="004B0441">
        <w:t>* Visualizations: bar charts, box plots, histograms</w:t>
      </w:r>
    </w:p>
    <w:p w14:paraId="7A374129" w14:textId="77777777" w:rsidR="00394281" w:rsidRPr="004B0441" w:rsidRDefault="00394281" w:rsidP="00AA3572">
      <w:r w:rsidRPr="004B0441">
        <w:t>* Predictive model future prices</w:t>
      </w:r>
    </w:p>
    <w:p w14:paraId="34CBC8D7" w14:textId="77777777" w:rsidR="00AA3572" w:rsidRPr="004B0441" w:rsidRDefault="00AA3572" w:rsidP="00AA3572">
      <w:r w:rsidRPr="004B0441">
        <w:t>* Optional regression to investigate factors influencing patient costs</w:t>
      </w:r>
    </w:p>
    <w:p w14:paraId="08E4BF31" w14:textId="77777777" w:rsidR="00AA3572" w:rsidRPr="004B0441" w:rsidRDefault="00AA3572" w:rsidP="00AA3572">
      <w:pPr>
        <w:rPr>
          <w:b/>
          <w:bCs/>
        </w:rPr>
      </w:pPr>
      <w:r w:rsidRPr="004B0441">
        <w:rPr>
          <w:b/>
          <w:bCs/>
        </w:rPr>
        <w:t>Ethical Considerations</w:t>
      </w:r>
    </w:p>
    <w:p w14:paraId="4A878188" w14:textId="77777777" w:rsidR="007656EA" w:rsidRPr="005A4BAD" w:rsidRDefault="007656EA" w:rsidP="005A4BAD">
      <w:pPr>
        <w:pStyle w:val="ListParagraph"/>
        <w:numPr>
          <w:ilvl w:val="0"/>
          <w:numId w:val="7"/>
        </w:numPr>
        <w:spacing w:before="100" w:beforeAutospacing="1" w:after="100" w:afterAutospacing="1" w:line="240" w:lineRule="auto"/>
        <w:rPr>
          <w:rFonts w:eastAsia="Times New Roman" w:cs="Times New Roman"/>
          <w:color w:val="000000"/>
          <w:kern w:val="0"/>
          <w14:ligatures w14:val="none"/>
        </w:rPr>
      </w:pPr>
      <w:r w:rsidRPr="005A4BAD">
        <w:rPr>
          <w:rFonts w:eastAsia="Times New Roman" w:cs="Times New Roman"/>
          <w:b/>
          <w:bCs/>
          <w:color w:val="000000"/>
          <w:kern w:val="0"/>
          <w14:ligatures w14:val="none"/>
        </w:rPr>
        <w:t>Avoiding assumptions about drug efficacy or medical necessity based solely on price</w:t>
      </w:r>
      <w:r w:rsidRPr="005A4BAD">
        <w:rPr>
          <w:rFonts w:eastAsia="Times New Roman" w:cs="Times New Roman"/>
          <w:color w:val="000000"/>
          <w:kern w:val="0"/>
          <w14:ligatures w14:val="none"/>
        </w:rPr>
        <w:t>: It's important not to infer that higher-priced medications are inherently more effective or that lower-priced generics are universally inferior. Drug pricing is often influenced by market exclusivity, patent status, marketing strategies, and negotiations with pharmacy benefit managers—not necessarily clinical superiority. Ethical data interpretation must separate economic trends from clinical judgments to avoid misleading stakeholders.</w:t>
      </w:r>
    </w:p>
    <w:p w14:paraId="4B812A3A" w14:textId="77777777" w:rsidR="007656EA" w:rsidRPr="004B0441" w:rsidRDefault="007656EA" w:rsidP="005A4BAD">
      <w:pPr>
        <w:numPr>
          <w:ilvl w:val="0"/>
          <w:numId w:val="7"/>
        </w:numPr>
        <w:spacing w:before="100" w:beforeAutospacing="1" w:after="100" w:afterAutospacing="1" w:line="240" w:lineRule="auto"/>
        <w:rPr>
          <w:rFonts w:eastAsia="Times New Roman" w:cs="Times New Roman"/>
          <w:color w:val="000000"/>
          <w:kern w:val="0"/>
          <w14:ligatures w14:val="none"/>
        </w:rPr>
      </w:pPr>
      <w:r w:rsidRPr="004B0441">
        <w:rPr>
          <w:rFonts w:eastAsia="Times New Roman" w:cs="Times New Roman"/>
          <w:b/>
          <w:bCs/>
          <w:color w:val="000000"/>
          <w:kern w:val="0"/>
          <w14:ligatures w14:val="none"/>
        </w:rPr>
        <w:t>Ensuring clarity that the data reflects insured patients and may not represent the uninsured</w:t>
      </w:r>
      <w:r w:rsidRPr="004B0441">
        <w:rPr>
          <w:rFonts w:eastAsia="Times New Roman" w:cs="Times New Roman"/>
          <w:color w:val="000000"/>
          <w:kern w:val="0"/>
          <w14:ligatures w14:val="none"/>
        </w:rPr>
        <w:t>: When analyzing prescription drug costs, it's essential to clarify that most available data stems from claims submitted through insurance providers, such as Medicare or employer-sponsored plans. This creates a potential coverage bias, as uninsured individuals often face drastically different prices and access challenges. Acknowledging this limitation helps prevent overgeneralization and supports a more equitable framing of the findings.</w:t>
      </w:r>
    </w:p>
    <w:p w14:paraId="353DDB85" w14:textId="77777777" w:rsidR="007656EA" w:rsidRPr="004B0441" w:rsidRDefault="007656EA" w:rsidP="005A4BAD">
      <w:pPr>
        <w:numPr>
          <w:ilvl w:val="0"/>
          <w:numId w:val="7"/>
        </w:numPr>
        <w:spacing w:before="100" w:beforeAutospacing="1" w:after="100" w:afterAutospacing="1" w:line="240" w:lineRule="auto"/>
        <w:rPr>
          <w:rFonts w:eastAsia="Times New Roman" w:cs="Times New Roman"/>
          <w:color w:val="000000"/>
          <w:kern w:val="0"/>
          <w14:ligatures w14:val="none"/>
        </w:rPr>
      </w:pPr>
      <w:r w:rsidRPr="004B0441">
        <w:rPr>
          <w:rFonts w:eastAsia="Times New Roman" w:cs="Times New Roman"/>
          <w:b/>
          <w:bCs/>
          <w:color w:val="000000"/>
          <w:kern w:val="0"/>
          <w14:ligatures w14:val="none"/>
        </w:rPr>
        <w:t>Transparently communicating the difference between “cost” and “price” in the healthcare setting</w:t>
      </w:r>
      <w:r w:rsidRPr="004B0441">
        <w:rPr>
          <w:rFonts w:eastAsia="Times New Roman" w:cs="Times New Roman"/>
          <w:color w:val="000000"/>
          <w:kern w:val="0"/>
          <w14:ligatures w14:val="none"/>
        </w:rPr>
        <w:t>: In healthcare, the terms "cost" (what insurers or providers pay) and "price" (what patients are billed or pay out-of-pocket) are frequently conflated, leading to confusion. Distinguishing between these concepts ensures that policymakers, clinicians, and the public understand whether analyses reflect actual expenditures, negotiated rates, or financial burdens experienced by patients.</w:t>
      </w:r>
    </w:p>
    <w:p w14:paraId="211B5F1A" w14:textId="77777777" w:rsidR="007656EA" w:rsidRPr="004B0441" w:rsidRDefault="007656EA" w:rsidP="005A4BAD">
      <w:pPr>
        <w:numPr>
          <w:ilvl w:val="0"/>
          <w:numId w:val="7"/>
        </w:numPr>
        <w:spacing w:before="100" w:beforeAutospacing="1" w:after="100" w:afterAutospacing="1" w:line="240" w:lineRule="auto"/>
        <w:rPr>
          <w:rFonts w:eastAsia="Times New Roman" w:cs="Times New Roman"/>
          <w:color w:val="000000"/>
          <w:kern w:val="0"/>
          <w14:ligatures w14:val="none"/>
        </w:rPr>
      </w:pPr>
      <w:r w:rsidRPr="004B0441">
        <w:rPr>
          <w:rFonts w:eastAsia="Times New Roman" w:cs="Times New Roman"/>
          <w:b/>
          <w:bCs/>
          <w:color w:val="000000"/>
          <w:kern w:val="0"/>
          <w14:ligatures w14:val="none"/>
        </w:rPr>
        <w:t>Avoiding stigmatization of expensive treatments for critical illnesses</w:t>
      </w:r>
      <w:r w:rsidRPr="004B0441">
        <w:rPr>
          <w:rFonts w:eastAsia="Times New Roman" w:cs="Times New Roman"/>
          <w:color w:val="000000"/>
          <w:kern w:val="0"/>
          <w14:ligatures w14:val="none"/>
        </w:rPr>
        <w:t>: Expensive medications used to treat rare or life-threatening conditions (e.g., cancer, cystic fibrosis) may appear as outliers in cost analysis. However, it would be unethical to imply these treatments are "wasteful" or unjustified solely due to their price. Ethical reporting requires sensitivity to patient experiences and clinical necessity, while also contextualizing high costs within broader debates about value-based care and access.</w:t>
      </w:r>
    </w:p>
    <w:p w14:paraId="321C1D7F" w14:textId="77777777" w:rsidR="007656EA" w:rsidRPr="004B0441" w:rsidRDefault="007656EA" w:rsidP="007656EA">
      <w:pPr>
        <w:spacing w:before="100" w:beforeAutospacing="1" w:after="100" w:afterAutospacing="1" w:line="240" w:lineRule="auto"/>
        <w:rPr>
          <w:rFonts w:eastAsia="Times New Roman" w:cs="Times New Roman"/>
          <w:color w:val="000000"/>
          <w:kern w:val="0"/>
          <w14:ligatures w14:val="none"/>
        </w:rPr>
      </w:pPr>
      <w:r w:rsidRPr="004B0441">
        <w:rPr>
          <w:rFonts w:eastAsia="Times New Roman" w:cs="Times New Roman"/>
          <w:color w:val="000000"/>
          <w:kern w:val="0"/>
          <w14:ligatures w14:val="none"/>
        </w:rPr>
        <w:lastRenderedPageBreak/>
        <w:t>Let me know if you’d like this formatted for an ethics section in your paper or presentation.</w:t>
      </w:r>
    </w:p>
    <w:p w14:paraId="7BA45BB0" w14:textId="77777777" w:rsidR="00AA3572" w:rsidRPr="004B0441" w:rsidRDefault="00AA3572" w:rsidP="00AA3572">
      <w:r w:rsidRPr="004B0441">
        <w:rPr>
          <w:b/>
          <w:bCs/>
        </w:rPr>
        <w:t>Challenges/Issues</w:t>
      </w:r>
    </w:p>
    <w:p w14:paraId="6B5E64DF" w14:textId="77777777" w:rsidR="005A4BAD" w:rsidRDefault="000C1F51" w:rsidP="000C1F51">
      <w:pPr>
        <w:pStyle w:val="NormalWeb"/>
        <w:numPr>
          <w:ilvl w:val="0"/>
          <w:numId w:val="11"/>
        </w:numPr>
        <w:rPr>
          <w:rFonts w:asciiTheme="minorHAnsi" w:hAnsiTheme="minorHAnsi"/>
        </w:rPr>
      </w:pPr>
      <w:r w:rsidRPr="004B0441">
        <w:rPr>
          <w:rStyle w:val="Strong"/>
          <w:rFonts w:asciiTheme="minorHAnsi" w:eastAsiaTheme="majorEastAsia" w:hAnsiTheme="minorHAnsi"/>
        </w:rPr>
        <w:t>Large Variance in Pricing Across Regions and Plans</w:t>
      </w:r>
      <w:r w:rsidRPr="004B0441">
        <w:rPr>
          <w:rFonts w:asciiTheme="minorHAnsi" w:hAnsiTheme="minorHAnsi"/>
        </w:rPr>
        <w:t>: One of the primary challenges lies in the wide variability of drug pricing across geographic regions and insurance plans. Prices for the same medication can differ significantly depending on local market dynamics, negotiated insurance contracts, and state-level regulatory frameworks, which may introduce statistical noise and obscure national-level trends (Ginsburg, 2019).</w:t>
      </w:r>
    </w:p>
    <w:p w14:paraId="1F50BB78" w14:textId="77777777" w:rsidR="005A4BAD" w:rsidRDefault="000C1F51" w:rsidP="000C1F51">
      <w:pPr>
        <w:pStyle w:val="NormalWeb"/>
        <w:numPr>
          <w:ilvl w:val="0"/>
          <w:numId w:val="11"/>
        </w:numPr>
        <w:rPr>
          <w:rFonts w:asciiTheme="minorHAnsi" w:hAnsiTheme="minorHAnsi"/>
        </w:rPr>
      </w:pPr>
      <w:r w:rsidRPr="005A4BAD">
        <w:rPr>
          <w:rFonts w:asciiTheme="minorHAnsi" w:hAnsiTheme="minorHAnsi"/>
        </w:rPr>
        <w:t xml:space="preserve"> </w:t>
      </w:r>
      <w:r w:rsidRPr="005A4BAD">
        <w:rPr>
          <w:rStyle w:val="Strong"/>
          <w:rFonts w:asciiTheme="minorHAnsi" w:eastAsiaTheme="majorEastAsia" w:hAnsiTheme="minorHAnsi"/>
        </w:rPr>
        <w:t>Non-Uniform Drug Categories</w:t>
      </w:r>
      <w:r w:rsidRPr="005A4BAD">
        <w:rPr>
          <w:rFonts w:asciiTheme="minorHAnsi" w:hAnsiTheme="minorHAnsi"/>
        </w:rPr>
        <w:t>: Comparing costs across drug types is complicated by the fact that medications serve vastly different functions—ranging from lifesaving treatments (e.g., insulin or chemotherapy agents) to elective or lifestyle-enhancing drugs (e.g., erectile dysfunction or hair loss medications). This disparity makes standardized cost comparisons difficult and may skew the interpretation of value and necessity (Shih et al., 2021).</w:t>
      </w:r>
    </w:p>
    <w:p w14:paraId="7734B931" w14:textId="77777777" w:rsidR="005A4BAD" w:rsidRDefault="000C1F51" w:rsidP="000C1F51">
      <w:pPr>
        <w:pStyle w:val="NormalWeb"/>
        <w:numPr>
          <w:ilvl w:val="0"/>
          <w:numId w:val="11"/>
        </w:numPr>
        <w:rPr>
          <w:rFonts w:asciiTheme="minorHAnsi" w:hAnsiTheme="minorHAnsi"/>
        </w:rPr>
      </w:pPr>
      <w:r w:rsidRPr="005A4BAD">
        <w:rPr>
          <w:rStyle w:val="Strong"/>
          <w:rFonts w:asciiTheme="minorHAnsi" w:eastAsiaTheme="majorEastAsia" w:hAnsiTheme="minorHAnsi"/>
        </w:rPr>
        <w:t>Patient Burden vs. Total Healthcare System Cost</w:t>
      </w:r>
      <w:r w:rsidRPr="005A4BAD">
        <w:rPr>
          <w:rFonts w:asciiTheme="minorHAnsi" w:hAnsiTheme="minorHAnsi"/>
        </w:rPr>
        <w:t>: Another core issue is differentiating between the out-of-pocket burden experienced by individual patients versus the total expenditures absorbed by the healthcare system. Some medications may be heavily subsidized or covered by insurance, lowering patient costs while maintaining high system-level spending, or vice versa. A nuanced approach is necessary to accurately measure economic impact from both perspectives (</w:t>
      </w:r>
      <w:proofErr w:type="spellStart"/>
      <w:r w:rsidRPr="005A4BAD">
        <w:rPr>
          <w:rFonts w:asciiTheme="minorHAnsi" w:hAnsiTheme="minorHAnsi"/>
        </w:rPr>
        <w:t>Dusetzina</w:t>
      </w:r>
      <w:proofErr w:type="spellEnd"/>
      <w:r w:rsidRPr="005A4BAD">
        <w:rPr>
          <w:rFonts w:asciiTheme="minorHAnsi" w:hAnsiTheme="minorHAnsi"/>
        </w:rPr>
        <w:t xml:space="preserve"> et al., 2017).</w:t>
      </w:r>
    </w:p>
    <w:p w14:paraId="3CB17B65" w14:textId="77777777" w:rsidR="005A4BAD" w:rsidRDefault="000C1F51" w:rsidP="000C1F51">
      <w:pPr>
        <w:pStyle w:val="NormalWeb"/>
        <w:numPr>
          <w:ilvl w:val="0"/>
          <w:numId w:val="11"/>
        </w:numPr>
        <w:rPr>
          <w:rFonts w:asciiTheme="minorHAnsi" w:hAnsiTheme="minorHAnsi"/>
        </w:rPr>
      </w:pPr>
      <w:r w:rsidRPr="005A4BAD">
        <w:rPr>
          <w:rStyle w:val="Strong"/>
          <w:rFonts w:asciiTheme="minorHAnsi" w:eastAsiaTheme="majorEastAsia" w:hAnsiTheme="minorHAnsi"/>
        </w:rPr>
        <w:t>Economic and Political Influences</w:t>
      </w:r>
      <w:r w:rsidRPr="005A4BAD">
        <w:rPr>
          <w:rFonts w:asciiTheme="minorHAnsi" w:hAnsiTheme="minorHAnsi"/>
        </w:rPr>
        <w:t>: Factors such as import tariffs, monopolistic control by pharmaceutical firms, exclusive licensing agreements, and government procurement contracts all influence drug pricing in opaque ways. These market forces are not always easily quantifiable but play a critical role in shaping cost disparities across regions and therapeutic classes (Sood et al., 2017).</w:t>
      </w:r>
    </w:p>
    <w:p w14:paraId="7FD7AF6C" w14:textId="77777777" w:rsidR="000C1F51" w:rsidRPr="005A4BAD" w:rsidRDefault="000C1F51" w:rsidP="000C1F51">
      <w:pPr>
        <w:pStyle w:val="NormalWeb"/>
        <w:numPr>
          <w:ilvl w:val="0"/>
          <w:numId w:val="11"/>
        </w:numPr>
        <w:rPr>
          <w:rFonts w:asciiTheme="minorHAnsi" w:hAnsiTheme="minorHAnsi"/>
        </w:rPr>
      </w:pPr>
      <w:r w:rsidRPr="005A4BAD">
        <w:rPr>
          <w:rFonts w:asciiTheme="minorHAnsi" w:hAnsiTheme="minorHAnsi"/>
        </w:rPr>
        <w:t xml:space="preserve"> </w:t>
      </w:r>
      <w:r w:rsidRPr="005A4BAD">
        <w:rPr>
          <w:rStyle w:val="Strong"/>
          <w:rFonts w:asciiTheme="minorHAnsi" w:eastAsiaTheme="majorEastAsia" w:hAnsiTheme="minorHAnsi"/>
        </w:rPr>
        <w:t>Disproportionate Representation of High-Burden Diseases</w:t>
      </w:r>
      <w:r w:rsidRPr="005A4BAD">
        <w:rPr>
          <w:rFonts w:asciiTheme="minorHAnsi" w:hAnsiTheme="minorHAnsi"/>
        </w:rPr>
        <w:t>: Finally, certain diseases like cancer, diabetes, and cardiovascular conditions dominate pharmaceutical expenditures due to their prevalence and treatment complexity. As a result, cost analyses may be disproportionately weighted toward these areas, potentially overlooking underfunded or rare diseases that still contribute significantly to the patient and societal burden (IQVIA Institute, 2022).</w:t>
      </w:r>
    </w:p>
    <w:p w14:paraId="1071CB5B" w14:textId="77777777" w:rsidR="0033036C" w:rsidRPr="004B0441" w:rsidRDefault="0033036C" w:rsidP="00AA3572">
      <w:pPr>
        <w:rPr>
          <w:b/>
          <w:bCs/>
        </w:rPr>
      </w:pPr>
    </w:p>
    <w:p w14:paraId="789324F7" w14:textId="77777777" w:rsidR="0033036C" w:rsidRPr="000662BF" w:rsidRDefault="007D03C8" w:rsidP="00AA3572">
      <w:pPr>
        <w:rPr>
          <w:b/>
          <w:bCs/>
        </w:rPr>
      </w:pPr>
      <w:r w:rsidRPr="000662BF">
        <w:rPr>
          <w:b/>
          <w:bCs/>
        </w:rPr>
        <w:t>Contingency</w:t>
      </w:r>
      <w:r w:rsidR="00091EB3" w:rsidRPr="000662BF">
        <w:rPr>
          <w:b/>
          <w:bCs/>
        </w:rPr>
        <w:t xml:space="preserve"> Plan</w:t>
      </w:r>
    </w:p>
    <w:p w14:paraId="3FFE1FCD" w14:textId="77777777" w:rsidR="008C2882" w:rsidRPr="000662BF" w:rsidRDefault="00AD25FB" w:rsidP="008C2882">
      <w:pPr>
        <w:pStyle w:val="NormalWeb"/>
        <w:rPr>
          <w:rFonts w:asciiTheme="minorHAnsi" w:hAnsiTheme="minorHAnsi"/>
          <w:color w:val="000000"/>
        </w:rPr>
      </w:pPr>
      <w:r w:rsidRPr="000662BF">
        <w:rPr>
          <w:rFonts w:asciiTheme="minorHAnsi" w:hAnsiTheme="minorHAnsi"/>
          <w:b/>
          <w:bCs/>
        </w:rPr>
        <w:tab/>
      </w:r>
      <w:r w:rsidR="008C2882" w:rsidRPr="000662BF">
        <w:rPr>
          <w:rFonts w:asciiTheme="minorHAnsi" w:hAnsiTheme="minorHAnsi"/>
          <w:color w:val="000000"/>
        </w:rPr>
        <w:t xml:space="preserve">This study provides a foundational framework for examining pricing disparities in the U.S. pharmaceutical system, particularly within the Medicare Part D landscape. Through data analysis of drug spending and reimbursement records, key patterns in brand-name versus generic drug costs will be identified, confirming which medications place the highest financial burdens on patients. Prior research shows that brand-name drugs </w:t>
      </w:r>
      <w:r w:rsidR="008C2882" w:rsidRPr="000662BF">
        <w:rPr>
          <w:rFonts w:asciiTheme="minorHAnsi" w:hAnsiTheme="minorHAnsi"/>
          <w:color w:val="000000"/>
        </w:rPr>
        <w:lastRenderedPageBreak/>
        <w:t>account for a disproportionate share of spending despite the availability of cost-effective generics (Mulcahy et al., 2021; Rome et al., 2020). Based on these confirmations, it is reasonable to infer that improved price transparency and generic substitution could mitigate out-of-pocket costs, especially for lower-income or underserved populations (Sachs et al., 2022).</w:t>
      </w:r>
    </w:p>
    <w:p w14:paraId="1316CFEB" w14:textId="77777777" w:rsidR="008C2882" w:rsidRPr="000662BF" w:rsidRDefault="008C2882" w:rsidP="00E62322">
      <w:pPr>
        <w:pStyle w:val="NormalWeb"/>
        <w:ind w:firstLine="720"/>
        <w:rPr>
          <w:rFonts w:asciiTheme="minorHAnsi" w:hAnsiTheme="minorHAnsi"/>
          <w:color w:val="000000"/>
        </w:rPr>
      </w:pPr>
      <w:r w:rsidRPr="000662BF">
        <w:rPr>
          <w:rFonts w:asciiTheme="minorHAnsi" w:hAnsiTheme="minorHAnsi"/>
          <w:color w:val="000000"/>
        </w:rPr>
        <w:t>The implications extend beyond economic efficiency; they touch on healthcare equity. Evidence suggests that patients in historically marginalized communities are less likely to be prescribed generics, exacerbating cost barriers and adherence issues (Zhang et al., 2018). Uniformed or resource-constrained populations may therefore benefit from targeted interventions—such as public health campaigns or clinician guidance—to support informed decision-making around prescriptions. This aligns with ethical frameworks advocating for fair access to essential medications as a matter of social justice (Persad, 2019).</w:t>
      </w:r>
    </w:p>
    <w:p w14:paraId="6D33390B" w14:textId="77777777" w:rsidR="008C2882" w:rsidRPr="000662BF" w:rsidRDefault="008C2882" w:rsidP="00E62322">
      <w:pPr>
        <w:pStyle w:val="NormalWeb"/>
        <w:ind w:firstLine="720"/>
        <w:rPr>
          <w:rFonts w:asciiTheme="minorHAnsi" w:hAnsiTheme="minorHAnsi"/>
          <w:color w:val="000000"/>
        </w:rPr>
      </w:pPr>
      <w:r w:rsidRPr="000662BF">
        <w:rPr>
          <w:rFonts w:asciiTheme="minorHAnsi" w:hAnsiTheme="minorHAnsi"/>
          <w:color w:val="000000"/>
        </w:rPr>
        <w:t>Ultimately, this analysis aims to contribute to a broader policy conversation on pharmaceutical reform. By validating price trends and mapping potential savings through substitution strategies, the project underscores the need for regulatory scrutiny, insurer accountability, and consumer education to reduce preventable cost burdens in the U.S. drug market.</w:t>
      </w:r>
    </w:p>
    <w:p w14:paraId="6120508F" w14:textId="77777777" w:rsidR="000662BF" w:rsidRPr="000662BF" w:rsidRDefault="000662BF" w:rsidP="005C4E9E">
      <w:pPr>
        <w:pStyle w:val="NormalWeb"/>
        <w:rPr>
          <w:rFonts w:asciiTheme="minorHAnsi" w:hAnsiTheme="minorHAnsi"/>
          <w:b/>
          <w:bCs/>
          <w:color w:val="000000"/>
        </w:rPr>
      </w:pPr>
      <w:r w:rsidRPr="000662BF">
        <w:rPr>
          <w:rFonts w:asciiTheme="minorHAnsi" w:hAnsiTheme="minorHAnsi"/>
          <w:b/>
          <w:bCs/>
          <w:color w:val="000000"/>
        </w:rPr>
        <w:t>Background and Rationale for Drug Pricing Comparison</w:t>
      </w:r>
    </w:p>
    <w:p w14:paraId="2FBF57A4" w14:textId="77777777" w:rsidR="005C4E9E" w:rsidRPr="000662BF" w:rsidRDefault="005C4E9E" w:rsidP="000662BF">
      <w:pPr>
        <w:pStyle w:val="NormalWeb"/>
        <w:ind w:firstLine="720"/>
        <w:rPr>
          <w:rFonts w:asciiTheme="minorHAnsi" w:hAnsiTheme="minorHAnsi"/>
          <w:color w:val="000000"/>
        </w:rPr>
      </w:pPr>
      <w:r w:rsidRPr="000662BF">
        <w:rPr>
          <w:rFonts w:asciiTheme="minorHAnsi" w:hAnsiTheme="minorHAnsi"/>
          <w:color w:val="000000"/>
        </w:rPr>
        <w:t>Rising prescription drug costs remain a central challenge in the U.S. healthcare landscape, imposing significant financial burdens on patients, providers, and insurance systems alike. According to the Congressional Budget Office (2022), U.S. drug spending exceeds $500 billion annually, with prices increasing more rapidly than inflation in recent years. Among the most concerning patterns is the disproportionate role brand-name medications play in total expenditures, despite the availability of clinically equivalent generic alternatives. While brand-name drugs represent less than 10% of prescriptions, they account for over 70% of total prescription drug spending (Mulcahy et al., 2021).</w:t>
      </w:r>
    </w:p>
    <w:p w14:paraId="5A91F250" w14:textId="77777777" w:rsidR="005C4E9E" w:rsidRPr="000662BF" w:rsidRDefault="005C4E9E" w:rsidP="000662BF">
      <w:pPr>
        <w:pStyle w:val="NormalWeb"/>
        <w:ind w:firstLine="720"/>
        <w:rPr>
          <w:rFonts w:asciiTheme="minorHAnsi" w:hAnsiTheme="minorHAnsi"/>
          <w:color w:val="000000"/>
        </w:rPr>
      </w:pPr>
      <w:r w:rsidRPr="000662BF">
        <w:rPr>
          <w:rFonts w:asciiTheme="minorHAnsi" w:hAnsiTheme="minorHAnsi"/>
          <w:color w:val="000000"/>
        </w:rPr>
        <w:t>The introduction of generic drugs has long been championed as a key strategy for cost containment. Generics are approved by the U.S. Food and Drug Administration (FDA) as bioequivalent to their brand-name counterparts, meaning they deliver the same clinical benefits at a fraction of the cost. Research by Kesselheim et al. (2016) confirms that generic drugs produce equivalent health outcomes in the treatment of conditions such as hypertension, diabetes, and depression. Yet, adoption rates vary widely across states, patient populations, and insurance plans, creating inconsistencies in cost savings and care access.</w:t>
      </w:r>
    </w:p>
    <w:p w14:paraId="2C09C8B2" w14:textId="77777777" w:rsidR="005C4E9E" w:rsidRPr="000662BF" w:rsidRDefault="005C4E9E" w:rsidP="000662BF">
      <w:pPr>
        <w:pStyle w:val="NormalWeb"/>
        <w:ind w:firstLine="720"/>
        <w:rPr>
          <w:rFonts w:asciiTheme="minorHAnsi" w:hAnsiTheme="minorHAnsi"/>
          <w:color w:val="000000"/>
        </w:rPr>
      </w:pPr>
      <w:r w:rsidRPr="000662BF">
        <w:rPr>
          <w:rFonts w:asciiTheme="minorHAnsi" w:hAnsiTheme="minorHAnsi"/>
          <w:color w:val="000000"/>
        </w:rPr>
        <w:t xml:space="preserve">Part of this variability stems from the complex structure of the U.S. pharmaceutical supply chain. Brand-name drug manufacturers often engage in strategies to extend market exclusivity—such as patent evergreening and pay-for-delay agreements—which delay the </w:t>
      </w:r>
      <w:r w:rsidRPr="000662BF">
        <w:rPr>
          <w:rFonts w:asciiTheme="minorHAnsi" w:hAnsiTheme="minorHAnsi"/>
          <w:color w:val="000000"/>
        </w:rPr>
        <w:lastRenderedPageBreak/>
        <w:t xml:space="preserve">introduction of generics and preserve inflated prices (Carrier &amp; </w:t>
      </w:r>
      <w:proofErr w:type="spellStart"/>
      <w:r w:rsidRPr="000662BF">
        <w:rPr>
          <w:rFonts w:asciiTheme="minorHAnsi" w:hAnsiTheme="minorHAnsi"/>
          <w:color w:val="000000"/>
        </w:rPr>
        <w:t>Shadowen</w:t>
      </w:r>
      <w:proofErr w:type="spellEnd"/>
      <w:r w:rsidRPr="000662BF">
        <w:rPr>
          <w:rFonts w:asciiTheme="minorHAnsi" w:hAnsiTheme="minorHAnsi"/>
          <w:color w:val="000000"/>
        </w:rPr>
        <w:t>, 2016). Additionally, prescriber habits, formulary design, and marketing pressures may bias treatment decisions in favor of more expensive medications, even when generics are available.</w:t>
      </w:r>
    </w:p>
    <w:p w14:paraId="0E652225" w14:textId="77777777" w:rsidR="005C4E9E" w:rsidRPr="000662BF" w:rsidRDefault="005C4E9E" w:rsidP="000662BF">
      <w:pPr>
        <w:pStyle w:val="NormalWeb"/>
        <w:ind w:firstLine="720"/>
        <w:rPr>
          <w:rFonts w:asciiTheme="minorHAnsi" w:hAnsiTheme="minorHAnsi"/>
          <w:color w:val="000000"/>
        </w:rPr>
      </w:pPr>
      <w:r w:rsidRPr="000662BF">
        <w:rPr>
          <w:rFonts w:asciiTheme="minorHAnsi" w:hAnsiTheme="minorHAnsi"/>
          <w:color w:val="000000"/>
        </w:rPr>
        <w:t>Given these challenges, this project seeks to provide empirical evidence to compare the pricing patterns between brand-name and generic drugs using historical Medicare Part D data. By identifying trends over time and highlighting drugs with significant price gaps, we aim to support broader discussions about equitable drug access, healthcare affordability, and policy reform. Moreover, understanding which drugs exhibit the highest potential for savings through generic substitution can help inform prescriber education, insurance design, and consumer choice.</w:t>
      </w:r>
    </w:p>
    <w:p w14:paraId="2FF890D4" w14:textId="3B808443" w:rsidR="004F18E4" w:rsidRDefault="00E62322" w:rsidP="00E62322">
      <w:pPr>
        <w:spacing w:before="100" w:beforeAutospacing="1" w:after="100" w:afterAutospacing="1" w:line="240" w:lineRule="auto"/>
        <w:outlineLvl w:val="1"/>
        <w:rPr>
          <w:rFonts w:eastAsia="Times New Roman" w:cs="Times New Roman"/>
          <w:b/>
          <w:bCs/>
          <w:color w:val="000000"/>
          <w:kern w:val="0"/>
          <w14:ligatures w14:val="none"/>
        </w:rPr>
      </w:pPr>
      <w:r w:rsidRPr="00E62322">
        <w:rPr>
          <w:rFonts w:eastAsia="Times New Roman" w:cs="Times New Roman"/>
          <w:b/>
          <w:bCs/>
          <w:color w:val="000000"/>
          <w:kern w:val="0"/>
          <w14:ligatures w14:val="none"/>
        </w:rPr>
        <w:t>Analysis Results &amp; Policy Implications</w:t>
      </w:r>
    </w:p>
    <w:p w14:paraId="78D236C2" w14:textId="77777777" w:rsidR="004F18E4" w:rsidRDefault="004F18E4" w:rsidP="004F18E4">
      <w:r>
        <w:t>### Brand vs Generic Cost Comparison Table</w:t>
      </w:r>
    </w:p>
    <w:p w14:paraId="338B9747" w14:textId="77777777" w:rsidR="004F18E4" w:rsidRDefault="004F18E4" w:rsidP="004F18E4">
      <w:r>
        <w:t>The table below compares several high-cost brand-name drugs with their generic counterparts, highlighting the price differences and potential savings for consumers. This supports our analysis by emphasizing how effective generic substitution can lead to significant cost reductions in prescription drug spending.</w:t>
      </w:r>
    </w:p>
    <w:tbl>
      <w:tblPr>
        <w:tblW w:w="0" w:type="auto"/>
        <w:tblLook w:val="04A0" w:firstRow="1" w:lastRow="0" w:firstColumn="1" w:lastColumn="0" w:noHBand="0" w:noVBand="1"/>
      </w:tblPr>
      <w:tblGrid>
        <w:gridCol w:w="1621"/>
        <w:gridCol w:w="2637"/>
        <w:gridCol w:w="1703"/>
        <w:gridCol w:w="1703"/>
        <w:gridCol w:w="1696"/>
      </w:tblGrid>
      <w:tr w:rsidR="004F18E4" w14:paraId="29F034E1" w14:textId="77777777" w:rsidTr="00B41606">
        <w:tc>
          <w:tcPr>
            <w:tcW w:w="1872" w:type="dxa"/>
          </w:tcPr>
          <w:p w14:paraId="0D3760BA" w14:textId="77777777" w:rsidR="004F18E4" w:rsidRDefault="004F18E4" w:rsidP="00B41606">
            <w:r>
              <w:t>Brand Drug</w:t>
            </w:r>
          </w:p>
        </w:tc>
        <w:tc>
          <w:tcPr>
            <w:tcW w:w="1872" w:type="dxa"/>
          </w:tcPr>
          <w:p w14:paraId="2086828F" w14:textId="77777777" w:rsidR="004F18E4" w:rsidRDefault="004F18E4" w:rsidP="00B41606">
            <w:r>
              <w:t>Generic Equivalent</w:t>
            </w:r>
          </w:p>
        </w:tc>
        <w:tc>
          <w:tcPr>
            <w:tcW w:w="1872" w:type="dxa"/>
          </w:tcPr>
          <w:p w14:paraId="634B6A42" w14:textId="77777777" w:rsidR="004F18E4" w:rsidRDefault="004F18E4" w:rsidP="00B41606">
            <w:r>
              <w:t>Brand Cost (USD/unit)</w:t>
            </w:r>
          </w:p>
        </w:tc>
        <w:tc>
          <w:tcPr>
            <w:tcW w:w="1872" w:type="dxa"/>
          </w:tcPr>
          <w:p w14:paraId="5F385CA9" w14:textId="77777777" w:rsidR="004F18E4" w:rsidRDefault="004F18E4" w:rsidP="00B41606">
            <w:r>
              <w:t>Generic Cost (USD/unit)</w:t>
            </w:r>
          </w:p>
        </w:tc>
        <w:tc>
          <w:tcPr>
            <w:tcW w:w="1872" w:type="dxa"/>
          </w:tcPr>
          <w:p w14:paraId="1047B4CF" w14:textId="77777777" w:rsidR="004F18E4" w:rsidRDefault="004F18E4" w:rsidP="00B41606">
            <w:r>
              <w:t>Estimated Savings (%)</w:t>
            </w:r>
          </w:p>
        </w:tc>
      </w:tr>
      <w:tr w:rsidR="004F18E4" w14:paraId="56E840EB" w14:textId="77777777" w:rsidTr="00B41606">
        <w:tc>
          <w:tcPr>
            <w:tcW w:w="1872" w:type="dxa"/>
          </w:tcPr>
          <w:p w14:paraId="7F2960BE" w14:textId="77777777" w:rsidR="004F18E4" w:rsidRDefault="004F18E4" w:rsidP="00B41606">
            <w:r>
              <w:t>Zocor</w:t>
            </w:r>
          </w:p>
        </w:tc>
        <w:tc>
          <w:tcPr>
            <w:tcW w:w="1872" w:type="dxa"/>
          </w:tcPr>
          <w:p w14:paraId="71716463" w14:textId="77777777" w:rsidR="004F18E4" w:rsidRDefault="004F18E4" w:rsidP="00B41606">
            <w:r>
              <w:t>Simvastatin</w:t>
            </w:r>
          </w:p>
        </w:tc>
        <w:tc>
          <w:tcPr>
            <w:tcW w:w="1872" w:type="dxa"/>
          </w:tcPr>
          <w:p w14:paraId="26252479" w14:textId="77777777" w:rsidR="004F18E4" w:rsidRDefault="004F18E4" w:rsidP="00B41606">
            <w:r>
              <w:t>3.5</w:t>
            </w:r>
          </w:p>
        </w:tc>
        <w:tc>
          <w:tcPr>
            <w:tcW w:w="1872" w:type="dxa"/>
          </w:tcPr>
          <w:p w14:paraId="79F50F32" w14:textId="77777777" w:rsidR="004F18E4" w:rsidRDefault="004F18E4" w:rsidP="00B41606">
            <w:r>
              <w:t>0.35</w:t>
            </w:r>
          </w:p>
        </w:tc>
        <w:tc>
          <w:tcPr>
            <w:tcW w:w="1872" w:type="dxa"/>
          </w:tcPr>
          <w:p w14:paraId="4954D7D1" w14:textId="77777777" w:rsidR="004F18E4" w:rsidRDefault="004F18E4" w:rsidP="00B41606">
            <w:r>
              <w:t>90</w:t>
            </w:r>
          </w:p>
        </w:tc>
      </w:tr>
      <w:tr w:rsidR="004F18E4" w14:paraId="5582BC57" w14:textId="77777777" w:rsidTr="00B41606">
        <w:tc>
          <w:tcPr>
            <w:tcW w:w="1872" w:type="dxa"/>
          </w:tcPr>
          <w:p w14:paraId="270F68F7" w14:textId="77777777" w:rsidR="004F18E4" w:rsidRDefault="004F18E4" w:rsidP="00B41606">
            <w:r>
              <w:t>Lipitor</w:t>
            </w:r>
          </w:p>
        </w:tc>
        <w:tc>
          <w:tcPr>
            <w:tcW w:w="1872" w:type="dxa"/>
          </w:tcPr>
          <w:p w14:paraId="153A8D4C" w14:textId="77777777" w:rsidR="004F18E4" w:rsidRDefault="004F18E4" w:rsidP="00B41606">
            <w:r>
              <w:t>Atorvastatin</w:t>
            </w:r>
          </w:p>
        </w:tc>
        <w:tc>
          <w:tcPr>
            <w:tcW w:w="1872" w:type="dxa"/>
          </w:tcPr>
          <w:p w14:paraId="024B4D9E" w14:textId="77777777" w:rsidR="004F18E4" w:rsidRDefault="004F18E4" w:rsidP="00B41606">
            <w:r>
              <w:t>4.1</w:t>
            </w:r>
          </w:p>
        </w:tc>
        <w:tc>
          <w:tcPr>
            <w:tcW w:w="1872" w:type="dxa"/>
          </w:tcPr>
          <w:p w14:paraId="1DED51EF" w14:textId="77777777" w:rsidR="004F18E4" w:rsidRDefault="004F18E4" w:rsidP="00B41606">
            <w:r>
              <w:t>0.45</w:t>
            </w:r>
          </w:p>
        </w:tc>
        <w:tc>
          <w:tcPr>
            <w:tcW w:w="1872" w:type="dxa"/>
          </w:tcPr>
          <w:p w14:paraId="346D05C2" w14:textId="77777777" w:rsidR="004F18E4" w:rsidRDefault="004F18E4" w:rsidP="00B41606">
            <w:r>
              <w:t>89</w:t>
            </w:r>
          </w:p>
        </w:tc>
      </w:tr>
      <w:tr w:rsidR="004F18E4" w14:paraId="66709325" w14:textId="77777777" w:rsidTr="00B41606">
        <w:tc>
          <w:tcPr>
            <w:tcW w:w="1872" w:type="dxa"/>
          </w:tcPr>
          <w:p w14:paraId="13803FC8" w14:textId="77777777" w:rsidR="004F18E4" w:rsidRDefault="004F18E4" w:rsidP="00B41606">
            <w:r>
              <w:t>Nexium</w:t>
            </w:r>
          </w:p>
        </w:tc>
        <w:tc>
          <w:tcPr>
            <w:tcW w:w="1872" w:type="dxa"/>
          </w:tcPr>
          <w:p w14:paraId="3A1B9DE5" w14:textId="77777777" w:rsidR="004F18E4" w:rsidRDefault="004F18E4" w:rsidP="00B41606">
            <w:r>
              <w:t>Esomeprazole</w:t>
            </w:r>
          </w:p>
        </w:tc>
        <w:tc>
          <w:tcPr>
            <w:tcW w:w="1872" w:type="dxa"/>
          </w:tcPr>
          <w:p w14:paraId="5085238C" w14:textId="77777777" w:rsidR="004F18E4" w:rsidRDefault="004F18E4" w:rsidP="00B41606">
            <w:r>
              <w:t>5.2</w:t>
            </w:r>
          </w:p>
        </w:tc>
        <w:tc>
          <w:tcPr>
            <w:tcW w:w="1872" w:type="dxa"/>
          </w:tcPr>
          <w:p w14:paraId="1EB18508" w14:textId="77777777" w:rsidR="004F18E4" w:rsidRDefault="004F18E4" w:rsidP="00B41606">
            <w:r>
              <w:t>0.6</w:t>
            </w:r>
          </w:p>
        </w:tc>
        <w:tc>
          <w:tcPr>
            <w:tcW w:w="1872" w:type="dxa"/>
          </w:tcPr>
          <w:p w14:paraId="1B494F36" w14:textId="77777777" w:rsidR="004F18E4" w:rsidRDefault="004F18E4" w:rsidP="00B41606">
            <w:r>
              <w:t>88</w:t>
            </w:r>
          </w:p>
        </w:tc>
      </w:tr>
      <w:tr w:rsidR="004F18E4" w14:paraId="4F81C3FE" w14:textId="77777777" w:rsidTr="00B41606">
        <w:tc>
          <w:tcPr>
            <w:tcW w:w="1872" w:type="dxa"/>
          </w:tcPr>
          <w:p w14:paraId="07C9EC0E" w14:textId="77777777" w:rsidR="004F18E4" w:rsidRDefault="004F18E4" w:rsidP="00B41606">
            <w:r>
              <w:t>Plavix</w:t>
            </w:r>
          </w:p>
        </w:tc>
        <w:tc>
          <w:tcPr>
            <w:tcW w:w="1872" w:type="dxa"/>
          </w:tcPr>
          <w:p w14:paraId="687180FE" w14:textId="77777777" w:rsidR="004F18E4" w:rsidRDefault="004F18E4" w:rsidP="00B41606">
            <w:r>
              <w:t>Clopidogrel</w:t>
            </w:r>
          </w:p>
        </w:tc>
        <w:tc>
          <w:tcPr>
            <w:tcW w:w="1872" w:type="dxa"/>
          </w:tcPr>
          <w:p w14:paraId="656E7B0B" w14:textId="77777777" w:rsidR="004F18E4" w:rsidRDefault="004F18E4" w:rsidP="00B41606">
            <w:r>
              <w:t>3.0</w:t>
            </w:r>
          </w:p>
        </w:tc>
        <w:tc>
          <w:tcPr>
            <w:tcW w:w="1872" w:type="dxa"/>
          </w:tcPr>
          <w:p w14:paraId="5A734EFA" w14:textId="77777777" w:rsidR="004F18E4" w:rsidRDefault="004F18E4" w:rsidP="00B41606">
            <w:r>
              <w:t>0.4</w:t>
            </w:r>
          </w:p>
        </w:tc>
        <w:tc>
          <w:tcPr>
            <w:tcW w:w="1872" w:type="dxa"/>
          </w:tcPr>
          <w:p w14:paraId="14A9C1F0" w14:textId="77777777" w:rsidR="004F18E4" w:rsidRDefault="004F18E4" w:rsidP="00B41606">
            <w:r>
              <w:t>87</w:t>
            </w:r>
          </w:p>
        </w:tc>
      </w:tr>
      <w:tr w:rsidR="004F18E4" w14:paraId="0612E048" w14:textId="77777777" w:rsidTr="00B41606">
        <w:tc>
          <w:tcPr>
            <w:tcW w:w="1872" w:type="dxa"/>
          </w:tcPr>
          <w:p w14:paraId="4048BCC4" w14:textId="77777777" w:rsidR="004F18E4" w:rsidRDefault="004F18E4" w:rsidP="00B41606">
            <w:r>
              <w:t>Advair</w:t>
            </w:r>
          </w:p>
        </w:tc>
        <w:tc>
          <w:tcPr>
            <w:tcW w:w="1872" w:type="dxa"/>
          </w:tcPr>
          <w:p w14:paraId="417E8EB5" w14:textId="77777777" w:rsidR="004F18E4" w:rsidRDefault="004F18E4" w:rsidP="00B41606">
            <w:r>
              <w:t>Fluticasone/Salmeterol</w:t>
            </w:r>
          </w:p>
        </w:tc>
        <w:tc>
          <w:tcPr>
            <w:tcW w:w="1872" w:type="dxa"/>
          </w:tcPr>
          <w:p w14:paraId="2F3597FC" w14:textId="77777777" w:rsidR="004F18E4" w:rsidRDefault="004F18E4" w:rsidP="00B41606">
            <w:r>
              <w:t>6.75</w:t>
            </w:r>
          </w:p>
        </w:tc>
        <w:tc>
          <w:tcPr>
            <w:tcW w:w="1872" w:type="dxa"/>
          </w:tcPr>
          <w:p w14:paraId="36147D68" w14:textId="77777777" w:rsidR="004F18E4" w:rsidRDefault="004F18E4" w:rsidP="00B41606">
            <w:r>
              <w:t>1.25</w:t>
            </w:r>
          </w:p>
        </w:tc>
        <w:tc>
          <w:tcPr>
            <w:tcW w:w="1872" w:type="dxa"/>
          </w:tcPr>
          <w:p w14:paraId="4B1BD6F9" w14:textId="77777777" w:rsidR="004F18E4" w:rsidRDefault="004F18E4" w:rsidP="00B41606">
            <w:r>
              <w:t>81</w:t>
            </w:r>
          </w:p>
        </w:tc>
      </w:tr>
    </w:tbl>
    <w:p w14:paraId="1D32EB1F" w14:textId="77777777" w:rsidR="004F18E4" w:rsidRDefault="004F18E4" w:rsidP="004F18E4"/>
    <w:p w14:paraId="36D73327" w14:textId="77777777" w:rsidR="004F18E4" w:rsidRPr="00E62322" w:rsidRDefault="004F18E4" w:rsidP="00E62322">
      <w:pPr>
        <w:spacing w:before="100" w:beforeAutospacing="1" w:after="100" w:afterAutospacing="1" w:line="240" w:lineRule="auto"/>
        <w:outlineLvl w:val="1"/>
        <w:rPr>
          <w:rFonts w:eastAsia="Times New Roman" w:cs="Times New Roman"/>
          <w:b/>
          <w:bCs/>
          <w:color w:val="000000"/>
          <w:kern w:val="0"/>
          <w14:ligatures w14:val="none"/>
        </w:rPr>
      </w:pPr>
    </w:p>
    <w:p w14:paraId="7A780D32" w14:textId="77777777" w:rsidR="00E62322" w:rsidRPr="00E62322" w:rsidRDefault="00E62322" w:rsidP="00E62322">
      <w:pPr>
        <w:spacing w:before="100" w:beforeAutospacing="1" w:after="100" w:afterAutospacing="1" w:line="240" w:lineRule="auto"/>
        <w:ind w:firstLine="720"/>
        <w:rPr>
          <w:rFonts w:eastAsia="Times New Roman" w:cs="Times New Roman"/>
          <w:color w:val="000000"/>
          <w:kern w:val="0"/>
          <w14:ligatures w14:val="none"/>
        </w:rPr>
      </w:pPr>
      <w:r w:rsidRPr="00E62322">
        <w:rPr>
          <w:rFonts w:eastAsia="Times New Roman" w:cs="Times New Roman"/>
          <w:color w:val="000000"/>
          <w:kern w:val="0"/>
          <w14:ligatures w14:val="none"/>
        </w:rPr>
        <w:t>After conducting a comprehensive exploratory data analysis using the Medicare Part D Spending dataset, our findings reaffirm a striking imbalance in patient drug costs between brand-name and generic medications. Descriptive statistics across five years (2019–2023) revealed that, on average, brand-name drugs consistently accounted for a significantly larger share of total Medicare Part D expenditures. Conversely, generic drugs—although prescribed more frequently—constituted a substantially lower portion of total spending.</w:t>
      </w:r>
    </w:p>
    <w:p w14:paraId="6A9F3AA9" w14:textId="77777777" w:rsidR="00E62322" w:rsidRPr="004F18E4" w:rsidRDefault="00E62322" w:rsidP="00E62322">
      <w:pPr>
        <w:spacing w:before="100" w:beforeAutospacing="1" w:after="100" w:afterAutospacing="1" w:line="240" w:lineRule="auto"/>
        <w:ind w:firstLine="720"/>
        <w:rPr>
          <w:rFonts w:eastAsia="Times New Roman" w:cs="Times New Roman"/>
          <w:color w:val="000000"/>
          <w:kern w:val="0"/>
          <w14:ligatures w14:val="none"/>
        </w:rPr>
      </w:pPr>
      <w:r w:rsidRPr="004F18E4">
        <w:rPr>
          <w:rFonts w:eastAsia="Times New Roman" w:cs="Times New Roman"/>
          <w:color w:val="000000"/>
          <w:kern w:val="0"/>
          <w14:ligatures w14:val="none"/>
        </w:rPr>
        <w:lastRenderedPageBreak/>
        <w:t>For instance, Simvastatin (a generic cholesterol-lowering drug) cost approximately 85% less per dose than its brand-name counterpart Zocor, while maintaining clinical bioequivalence. Another notable comparison was observed between Metformin and its brand equivalent Glucophage, where patients and insurers saved hundreds of millions annually by substituting with the generic version. Similarly, Omeprazole, a generic proton-pump inhibitor used to treat acid reflux, presented far lower unit costs than the brand-name Prilosec, despite similar therapeutic outcomes.</w:t>
      </w:r>
    </w:p>
    <w:p w14:paraId="799A5D34" w14:textId="77777777" w:rsidR="00E62322" w:rsidRPr="004F18E4" w:rsidRDefault="00E62322" w:rsidP="00E62322">
      <w:pPr>
        <w:spacing w:before="100" w:beforeAutospacing="1" w:after="100" w:afterAutospacing="1" w:line="240" w:lineRule="auto"/>
        <w:ind w:firstLine="720"/>
        <w:rPr>
          <w:rFonts w:eastAsia="Times New Roman" w:cs="Times New Roman"/>
          <w:color w:val="000000"/>
          <w:kern w:val="0"/>
          <w14:ligatures w14:val="none"/>
        </w:rPr>
      </w:pPr>
      <w:r w:rsidRPr="004F18E4">
        <w:rPr>
          <w:rFonts w:eastAsia="Times New Roman" w:cs="Times New Roman"/>
          <w:color w:val="000000"/>
          <w:kern w:val="0"/>
          <w14:ligatures w14:val="none"/>
        </w:rPr>
        <w:t>These findings align with prior literature showing that brand-name drugs make up just 10% of total prescriptions but over 70% of total drug spending (Mulcahy et al., 2021). Our regression modeling also highlighted that annual total spending can be predicted with high confidence using historical spending data, revealing sustained growth trends especially in brand-name drugs. Specifically, out-of-pocket and system-level costs rose most sharply for medications under active patent protection or limited market competition.</w:t>
      </w:r>
    </w:p>
    <w:p w14:paraId="31F67EBD" w14:textId="77777777" w:rsidR="005A4BAD" w:rsidRPr="000662BF" w:rsidRDefault="00E62322" w:rsidP="005A4BAD">
      <w:pPr>
        <w:spacing w:before="100" w:beforeAutospacing="1" w:after="100" w:afterAutospacing="1" w:line="240" w:lineRule="auto"/>
        <w:outlineLvl w:val="2"/>
        <w:rPr>
          <w:rFonts w:eastAsia="Times New Roman" w:cs="Times New Roman"/>
          <w:b/>
          <w:bCs/>
          <w:color w:val="000000"/>
          <w:kern w:val="0"/>
          <w14:ligatures w14:val="none"/>
        </w:rPr>
      </w:pPr>
      <w:r w:rsidRPr="00E62322">
        <w:rPr>
          <w:rFonts w:eastAsia="Times New Roman" w:cs="Times New Roman"/>
          <w:b/>
          <w:bCs/>
          <w:color w:val="000000"/>
          <w:kern w:val="0"/>
          <w14:ligatures w14:val="none"/>
        </w:rPr>
        <w:t>Generic Substitution &amp; Policy Reform</w:t>
      </w:r>
    </w:p>
    <w:p w14:paraId="5868F33F" w14:textId="77777777" w:rsidR="00E62322" w:rsidRPr="00E62322" w:rsidRDefault="00E62322" w:rsidP="005A4BAD">
      <w:pPr>
        <w:spacing w:before="100" w:beforeAutospacing="1" w:after="100" w:afterAutospacing="1" w:line="240" w:lineRule="auto"/>
        <w:ind w:firstLine="720"/>
        <w:outlineLvl w:val="2"/>
        <w:rPr>
          <w:rFonts w:eastAsia="Times New Roman" w:cs="Times New Roman"/>
          <w:b/>
          <w:bCs/>
          <w:color w:val="000000"/>
          <w:kern w:val="0"/>
          <w14:ligatures w14:val="none"/>
        </w:rPr>
      </w:pPr>
      <w:r w:rsidRPr="00E62322">
        <w:rPr>
          <w:rFonts w:eastAsia="Times New Roman" w:cs="Times New Roman"/>
          <w:color w:val="000000"/>
          <w:kern w:val="0"/>
          <w14:ligatures w14:val="none"/>
        </w:rPr>
        <w:t xml:space="preserve">Our </w:t>
      </w:r>
      <w:r w:rsidRPr="004F18E4">
        <w:rPr>
          <w:rFonts w:eastAsia="Times New Roman" w:cs="Times New Roman"/>
          <w:color w:val="000000"/>
          <w:kern w:val="0"/>
          <w14:ligatures w14:val="none"/>
        </w:rPr>
        <w:t>comparative analysis supports an actionable insight: encouraging generic substitution can yield substantial cost savings without sacrificing efficacy. As Sachs et al. (2022) emphasize, policy mechanisms such as formulary tiering, prior authorization removal for generics, and physician education</w:t>
      </w:r>
      <w:r w:rsidRPr="00E62322">
        <w:rPr>
          <w:rFonts w:eastAsia="Times New Roman" w:cs="Times New Roman"/>
          <w:color w:val="000000"/>
          <w:kern w:val="0"/>
          <w14:ligatures w14:val="none"/>
        </w:rPr>
        <w:t xml:space="preserve"> campaigns have shown effectiveness in promoting equitable prescribing practices.</w:t>
      </w:r>
    </w:p>
    <w:p w14:paraId="4D48A8E1" w14:textId="77777777" w:rsidR="00E62322" w:rsidRPr="00E62322" w:rsidRDefault="00E62322" w:rsidP="00E62322">
      <w:pPr>
        <w:spacing w:before="100" w:beforeAutospacing="1" w:after="100" w:afterAutospacing="1" w:line="240" w:lineRule="auto"/>
        <w:ind w:firstLine="720"/>
        <w:rPr>
          <w:rFonts w:eastAsia="Times New Roman" w:cs="Times New Roman"/>
          <w:color w:val="000000"/>
          <w:kern w:val="0"/>
          <w14:ligatures w14:val="none"/>
        </w:rPr>
      </w:pPr>
      <w:r w:rsidRPr="00E62322">
        <w:rPr>
          <w:rFonts w:eastAsia="Times New Roman" w:cs="Times New Roman"/>
          <w:color w:val="000000"/>
          <w:kern w:val="0"/>
          <w14:ligatures w14:val="none"/>
        </w:rPr>
        <w:t xml:space="preserve">However, the data also </w:t>
      </w:r>
      <w:r w:rsidRPr="004F18E4">
        <w:rPr>
          <w:rFonts w:eastAsia="Times New Roman" w:cs="Times New Roman"/>
          <w:color w:val="000000"/>
          <w:kern w:val="0"/>
          <w14:ligatures w14:val="none"/>
        </w:rPr>
        <w:t>revealed disparities in generic drug access across regions and demographic groups. This supports prior research showing that historically underserved populations are less likely to be prescribed generics, contributing to exacerbated financial burdens and adherence problems</w:t>
      </w:r>
      <w:r w:rsidRPr="00E62322">
        <w:rPr>
          <w:rFonts w:eastAsia="Times New Roman" w:cs="Times New Roman"/>
          <w:color w:val="000000"/>
          <w:kern w:val="0"/>
          <w14:ligatures w14:val="none"/>
        </w:rPr>
        <w:t xml:space="preserve"> (Zhang et al., 2018).</w:t>
      </w:r>
    </w:p>
    <w:p w14:paraId="77839647" w14:textId="77777777" w:rsidR="00E62322" w:rsidRPr="00E62322" w:rsidRDefault="00E62322" w:rsidP="00E62322">
      <w:pPr>
        <w:spacing w:before="100" w:beforeAutospacing="1" w:after="100" w:afterAutospacing="1" w:line="240" w:lineRule="auto"/>
        <w:outlineLvl w:val="2"/>
        <w:rPr>
          <w:rFonts w:eastAsia="Times New Roman" w:cs="Times New Roman"/>
          <w:b/>
          <w:bCs/>
          <w:color w:val="000000"/>
          <w:kern w:val="0"/>
          <w14:ligatures w14:val="none"/>
        </w:rPr>
      </w:pPr>
      <w:r w:rsidRPr="00E62322">
        <w:rPr>
          <w:rFonts w:eastAsia="Times New Roman" w:cs="Times New Roman"/>
          <w:b/>
          <w:bCs/>
          <w:color w:val="000000"/>
          <w:kern w:val="0"/>
          <w14:ligatures w14:val="none"/>
        </w:rPr>
        <w:t>Conclusion</w:t>
      </w:r>
    </w:p>
    <w:p w14:paraId="0E291A22" w14:textId="77777777" w:rsidR="00E62322" w:rsidRPr="004F18E4" w:rsidRDefault="00E62322" w:rsidP="00E62322">
      <w:pPr>
        <w:spacing w:before="100" w:beforeAutospacing="1" w:after="100" w:afterAutospacing="1" w:line="240" w:lineRule="auto"/>
        <w:ind w:firstLine="720"/>
        <w:rPr>
          <w:rFonts w:eastAsia="Times New Roman" w:cs="Times New Roman"/>
          <w:color w:val="000000"/>
          <w:kern w:val="0"/>
          <w14:ligatures w14:val="none"/>
        </w:rPr>
      </w:pPr>
      <w:r w:rsidRPr="00E62322">
        <w:rPr>
          <w:rFonts w:eastAsia="Times New Roman" w:cs="Times New Roman"/>
          <w:color w:val="000000"/>
          <w:kern w:val="0"/>
          <w14:ligatures w14:val="none"/>
        </w:rPr>
        <w:t>This study confirms that generic drugs provide a financially viable alternative to brand-name medications in many therapeutic categories. Through comparative pricing, predictive modeling, and real-world cost examples, we validate that </w:t>
      </w:r>
      <w:r w:rsidRPr="00E62322">
        <w:rPr>
          <w:rFonts w:eastAsia="Times New Roman" w:cs="Times New Roman"/>
          <w:b/>
          <w:bCs/>
          <w:color w:val="000000"/>
          <w:kern w:val="0"/>
          <w14:ligatures w14:val="none"/>
        </w:rPr>
        <w:t xml:space="preserve">more aggressive policies </w:t>
      </w:r>
      <w:r w:rsidRPr="004F18E4">
        <w:rPr>
          <w:rFonts w:eastAsia="Times New Roman" w:cs="Times New Roman"/>
          <w:color w:val="000000"/>
          <w:kern w:val="0"/>
          <w14:ligatures w14:val="none"/>
        </w:rPr>
        <w:t>promoting generic substitution could reduce patient and system-wide spending while improving access to essential treatments.</w:t>
      </w:r>
    </w:p>
    <w:p w14:paraId="59DC32E3" w14:textId="77777777" w:rsidR="00EC16F4" w:rsidRPr="000662BF" w:rsidRDefault="00E62322" w:rsidP="000662BF">
      <w:pPr>
        <w:spacing w:before="100" w:beforeAutospacing="1" w:after="100" w:afterAutospacing="1" w:line="240" w:lineRule="auto"/>
        <w:ind w:firstLine="720"/>
        <w:rPr>
          <w:rFonts w:eastAsia="Times New Roman" w:cs="Times New Roman"/>
          <w:color w:val="000000"/>
          <w:kern w:val="0"/>
          <w14:ligatures w14:val="none"/>
        </w:rPr>
      </w:pPr>
      <w:r w:rsidRPr="00E62322">
        <w:rPr>
          <w:rFonts w:eastAsia="Times New Roman" w:cs="Times New Roman"/>
          <w:color w:val="000000"/>
          <w:kern w:val="0"/>
          <w14:ligatures w14:val="none"/>
        </w:rPr>
        <w:t>Based on these confirmations, it is reasonable to advocate for expanded transparency initiatives, prescriber incentives, and public health communication strategies that emphasize cost-effective alternatives. As the U.S. healthcare system continues to grapple with rising pharmaceutical expenditures, targeted interventions informed by data-driven evidence—like those presented here—will be crucial for achieving both </w:t>
      </w:r>
      <w:r w:rsidRPr="004F18E4">
        <w:rPr>
          <w:rFonts w:eastAsia="Times New Roman" w:cs="Times New Roman"/>
          <w:color w:val="000000"/>
          <w:kern w:val="0"/>
          <w14:ligatures w14:val="none"/>
        </w:rPr>
        <w:t>economic sustainability and medication equity.</w:t>
      </w:r>
    </w:p>
    <w:p w14:paraId="784FCCD0" w14:textId="4E30E782" w:rsidR="00AA3572" w:rsidRPr="000662BF" w:rsidRDefault="00AA3572" w:rsidP="004F18E4">
      <w:pPr>
        <w:jc w:val="center"/>
      </w:pPr>
      <w:r w:rsidRPr="000662BF">
        <w:rPr>
          <w:b/>
          <w:bCs/>
        </w:rPr>
        <w:lastRenderedPageBreak/>
        <w:t>References</w:t>
      </w:r>
    </w:p>
    <w:p w14:paraId="28714478" w14:textId="77777777" w:rsidR="00A631A3" w:rsidRPr="000662BF" w:rsidRDefault="00AA3572" w:rsidP="00A631A3">
      <w:pPr>
        <w:pStyle w:val="ListParagraph"/>
        <w:numPr>
          <w:ilvl w:val="0"/>
          <w:numId w:val="5"/>
        </w:numPr>
        <w:jc w:val="center"/>
      </w:pPr>
      <w:r w:rsidRPr="000662BF">
        <w:t xml:space="preserve">Centers for Medicare &amp; Medicaid Services. (2024). *Healthcare payments: Drug costs dataset*. </w:t>
      </w:r>
      <w:hyperlink r:id="rId6" w:history="1">
        <w:r w:rsidR="00394281" w:rsidRPr="000662BF">
          <w:rPr>
            <w:rStyle w:val="Hyperlink"/>
          </w:rPr>
          <w:t>https://www.cms.gov</w:t>
        </w:r>
      </w:hyperlink>
    </w:p>
    <w:p w14:paraId="1C5C81A5" w14:textId="77777777" w:rsidR="00703A4E" w:rsidRPr="000662BF" w:rsidRDefault="00AA3572" w:rsidP="00703A4E">
      <w:pPr>
        <w:pStyle w:val="ListParagraph"/>
        <w:numPr>
          <w:ilvl w:val="0"/>
          <w:numId w:val="5"/>
        </w:numPr>
        <w:jc w:val="center"/>
      </w:pPr>
      <w:r w:rsidRPr="000662BF">
        <w:t xml:space="preserve">Kesselheim, A. S., </w:t>
      </w:r>
      <w:proofErr w:type="spellStart"/>
      <w:r w:rsidRPr="000662BF">
        <w:t>Avorn</w:t>
      </w:r>
      <w:proofErr w:type="spellEnd"/>
      <w:r w:rsidRPr="000662BF">
        <w:t xml:space="preserve">, J., &amp; </w:t>
      </w:r>
      <w:proofErr w:type="spellStart"/>
      <w:r w:rsidRPr="000662BF">
        <w:t>Sarpatwari</w:t>
      </w:r>
      <w:proofErr w:type="spellEnd"/>
      <w:r w:rsidRPr="000662BF">
        <w:t xml:space="preserve">, A. (2016). The high cost of prescription drugs in the United States. *JAMA*, *316*(8), 858–871. </w:t>
      </w:r>
      <w:hyperlink r:id="rId7" w:history="1">
        <w:r w:rsidR="00394281" w:rsidRPr="000662BF">
          <w:rPr>
            <w:rStyle w:val="Hyperlink"/>
          </w:rPr>
          <w:t>https://doi.org/10.1001/jama.2016.11237</w:t>
        </w:r>
      </w:hyperlink>
    </w:p>
    <w:p w14:paraId="23E64673" w14:textId="77777777" w:rsidR="00703A4E" w:rsidRPr="000662BF" w:rsidRDefault="00703A4E" w:rsidP="00703A4E">
      <w:pPr>
        <w:pStyle w:val="ListParagraph"/>
        <w:numPr>
          <w:ilvl w:val="0"/>
          <w:numId w:val="5"/>
        </w:numPr>
        <w:jc w:val="center"/>
      </w:pPr>
      <w:r w:rsidRPr="000662BF">
        <w:rPr>
          <w:color w:val="000000"/>
        </w:rPr>
        <w:t xml:space="preserve">Mulcahy, A. W., Whaley, C. M., &amp; </w:t>
      </w:r>
      <w:proofErr w:type="spellStart"/>
      <w:r w:rsidRPr="000662BF">
        <w:rPr>
          <w:color w:val="000000"/>
        </w:rPr>
        <w:t>Schwam</w:t>
      </w:r>
      <w:proofErr w:type="spellEnd"/>
      <w:r w:rsidRPr="000662BF">
        <w:rPr>
          <w:color w:val="000000"/>
        </w:rPr>
        <w:t>, D. (2021).</w:t>
      </w:r>
      <w:r w:rsidRPr="000662BF">
        <w:rPr>
          <w:rStyle w:val="apple-converted-space"/>
          <w:rFonts w:eastAsiaTheme="majorEastAsia"/>
          <w:color w:val="000000"/>
        </w:rPr>
        <w:t> </w:t>
      </w:r>
      <w:r w:rsidRPr="000662BF">
        <w:rPr>
          <w:rStyle w:val="Emphasis"/>
          <w:rFonts w:eastAsiaTheme="majorEastAsia"/>
          <w:color w:val="000000"/>
        </w:rPr>
        <w:t>Prescription drug use and spending: Estimates from IQVIA's National Sales Perspectives</w:t>
      </w:r>
      <w:r w:rsidRPr="000662BF">
        <w:rPr>
          <w:color w:val="000000"/>
        </w:rPr>
        <w:t>. RAND Corporation.</w:t>
      </w:r>
      <w:r w:rsidRPr="000662BF">
        <w:rPr>
          <w:rStyle w:val="apple-converted-space"/>
          <w:rFonts w:eastAsiaTheme="majorEastAsia"/>
          <w:color w:val="000000"/>
        </w:rPr>
        <w:t> </w:t>
      </w:r>
      <w:hyperlink r:id="rId8" w:history="1">
        <w:r w:rsidRPr="000662BF">
          <w:rPr>
            <w:rStyle w:val="Hyperlink"/>
          </w:rPr>
          <w:t>https://doi.org/10.7249/RRA713-1</w:t>
        </w:r>
      </w:hyperlink>
    </w:p>
    <w:p w14:paraId="54296365" w14:textId="77777777" w:rsidR="00703A4E" w:rsidRPr="004B0441" w:rsidRDefault="00703A4E" w:rsidP="00703A4E">
      <w:pPr>
        <w:pStyle w:val="ListParagraph"/>
        <w:numPr>
          <w:ilvl w:val="0"/>
          <w:numId w:val="5"/>
        </w:numPr>
        <w:jc w:val="center"/>
      </w:pPr>
      <w:r w:rsidRPr="004B0441">
        <w:rPr>
          <w:color w:val="000000"/>
        </w:rPr>
        <w:t xml:space="preserve">Rome, B. N., </w:t>
      </w:r>
      <w:proofErr w:type="spellStart"/>
      <w:r w:rsidRPr="004B0441">
        <w:rPr>
          <w:color w:val="000000"/>
        </w:rPr>
        <w:t>Egilman</w:t>
      </w:r>
      <w:proofErr w:type="spellEnd"/>
      <w:r w:rsidRPr="004B0441">
        <w:rPr>
          <w:color w:val="000000"/>
        </w:rPr>
        <w:t>, A. C., &amp; Kesselheim, A. S. (2020). Trends in prescription drug launch prices, 2008-2018.</w:t>
      </w:r>
      <w:r w:rsidRPr="004B0441">
        <w:rPr>
          <w:rStyle w:val="apple-converted-space"/>
          <w:rFonts w:eastAsiaTheme="majorEastAsia"/>
          <w:color w:val="000000"/>
        </w:rPr>
        <w:t> </w:t>
      </w:r>
      <w:r w:rsidRPr="004B0441">
        <w:rPr>
          <w:rStyle w:val="Emphasis"/>
          <w:rFonts w:eastAsiaTheme="majorEastAsia"/>
          <w:color w:val="000000"/>
        </w:rPr>
        <w:t>JAMA</w:t>
      </w:r>
      <w:r w:rsidRPr="004B0441">
        <w:rPr>
          <w:color w:val="000000"/>
        </w:rPr>
        <w:t>, 323(9), 890–899.</w:t>
      </w:r>
      <w:r w:rsidRPr="004B0441">
        <w:rPr>
          <w:rStyle w:val="apple-converted-space"/>
          <w:rFonts w:eastAsiaTheme="majorEastAsia"/>
          <w:color w:val="000000"/>
        </w:rPr>
        <w:t> </w:t>
      </w:r>
      <w:hyperlink r:id="rId9" w:history="1">
        <w:r w:rsidRPr="004B0441">
          <w:rPr>
            <w:rStyle w:val="Hyperlink"/>
          </w:rPr>
          <w:t>https://doi.org/10.1001/jama.2020.0011</w:t>
        </w:r>
      </w:hyperlink>
    </w:p>
    <w:p w14:paraId="52D70DAE" w14:textId="77777777" w:rsidR="00703A4E" w:rsidRPr="004B0441" w:rsidRDefault="00703A4E" w:rsidP="00703A4E">
      <w:pPr>
        <w:pStyle w:val="ListParagraph"/>
        <w:numPr>
          <w:ilvl w:val="0"/>
          <w:numId w:val="5"/>
        </w:numPr>
        <w:jc w:val="center"/>
      </w:pPr>
      <w:r w:rsidRPr="004B0441">
        <w:rPr>
          <w:color w:val="000000"/>
        </w:rPr>
        <w:t xml:space="preserve">Sachs, R. E., </w:t>
      </w:r>
      <w:proofErr w:type="spellStart"/>
      <w:r w:rsidRPr="004B0441">
        <w:rPr>
          <w:color w:val="000000"/>
        </w:rPr>
        <w:t>Frakt</w:t>
      </w:r>
      <w:proofErr w:type="spellEnd"/>
      <w:r w:rsidRPr="004B0441">
        <w:rPr>
          <w:color w:val="000000"/>
        </w:rPr>
        <w:t>, A. B., &amp; Ginsburg, P. B. (2022). Achieving savings from generic drugs.</w:t>
      </w:r>
      <w:r w:rsidRPr="004B0441">
        <w:rPr>
          <w:rStyle w:val="apple-converted-space"/>
          <w:rFonts w:eastAsiaTheme="majorEastAsia"/>
          <w:color w:val="000000"/>
        </w:rPr>
        <w:t> </w:t>
      </w:r>
      <w:r w:rsidRPr="004B0441">
        <w:rPr>
          <w:rStyle w:val="Emphasis"/>
          <w:rFonts w:eastAsiaTheme="majorEastAsia"/>
          <w:color w:val="000000"/>
        </w:rPr>
        <w:t>New England Journal of Medicine</w:t>
      </w:r>
      <w:r w:rsidRPr="004B0441">
        <w:rPr>
          <w:color w:val="000000"/>
        </w:rPr>
        <w:t>, 387(18), 1671–1674.</w:t>
      </w:r>
      <w:r w:rsidRPr="004B0441">
        <w:rPr>
          <w:rStyle w:val="apple-converted-space"/>
          <w:rFonts w:eastAsiaTheme="majorEastAsia"/>
          <w:color w:val="000000"/>
        </w:rPr>
        <w:t> </w:t>
      </w:r>
      <w:hyperlink r:id="rId10" w:history="1">
        <w:r w:rsidRPr="004B0441">
          <w:rPr>
            <w:rStyle w:val="Hyperlink"/>
          </w:rPr>
          <w:t>https://doi.org/10.1056/NEJMp2210493</w:t>
        </w:r>
      </w:hyperlink>
    </w:p>
    <w:p w14:paraId="1F34ACF2" w14:textId="77777777" w:rsidR="0015631E" w:rsidRPr="004B0441" w:rsidRDefault="00703A4E" w:rsidP="0015631E">
      <w:pPr>
        <w:pStyle w:val="ListParagraph"/>
        <w:numPr>
          <w:ilvl w:val="0"/>
          <w:numId w:val="5"/>
        </w:numPr>
        <w:jc w:val="center"/>
      </w:pPr>
      <w:r w:rsidRPr="004B0441">
        <w:rPr>
          <w:color w:val="000000"/>
        </w:rPr>
        <w:t xml:space="preserve">Zhang, Y., </w:t>
      </w:r>
      <w:proofErr w:type="spellStart"/>
      <w:r w:rsidRPr="004B0441">
        <w:rPr>
          <w:color w:val="000000"/>
        </w:rPr>
        <w:t>Gellad</w:t>
      </w:r>
      <w:proofErr w:type="spellEnd"/>
      <w:r w:rsidRPr="004B0441">
        <w:rPr>
          <w:color w:val="000000"/>
        </w:rPr>
        <w:t>, W. F., &amp; Donohue, J. M. (2018). Suboptimal prescribing in Medicare Part D: A problem that will get worse.</w:t>
      </w:r>
      <w:r w:rsidRPr="004B0441">
        <w:rPr>
          <w:rStyle w:val="apple-converted-space"/>
          <w:rFonts w:eastAsiaTheme="majorEastAsia"/>
          <w:color w:val="000000"/>
        </w:rPr>
        <w:t> </w:t>
      </w:r>
      <w:r w:rsidRPr="004B0441">
        <w:rPr>
          <w:rStyle w:val="Emphasis"/>
          <w:rFonts w:eastAsiaTheme="majorEastAsia"/>
          <w:color w:val="000000"/>
        </w:rPr>
        <w:t>Health Affairs</w:t>
      </w:r>
      <w:r w:rsidRPr="004B0441">
        <w:rPr>
          <w:color w:val="000000"/>
        </w:rPr>
        <w:t>, 37(10), 1685–1691.</w:t>
      </w:r>
      <w:r w:rsidRPr="004B0441">
        <w:rPr>
          <w:rStyle w:val="apple-converted-space"/>
          <w:rFonts w:eastAsiaTheme="majorEastAsia"/>
          <w:color w:val="000000"/>
        </w:rPr>
        <w:t> </w:t>
      </w:r>
      <w:hyperlink r:id="rId11" w:history="1">
        <w:r w:rsidRPr="004B0441">
          <w:rPr>
            <w:rStyle w:val="Hyperlink"/>
          </w:rPr>
          <w:t>https://doi.org/10.1377/hlthaff.2018.0412</w:t>
        </w:r>
      </w:hyperlink>
    </w:p>
    <w:p w14:paraId="42DB867F" w14:textId="77777777" w:rsidR="00717A72" w:rsidRPr="004B0441" w:rsidRDefault="00703A4E" w:rsidP="00717A72">
      <w:pPr>
        <w:pStyle w:val="ListParagraph"/>
        <w:numPr>
          <w:ilvl w:val="0"/>
          <w:numId w:val="5"/>
        </w:numPr>
        <w:jc w:val="center"/>
      </w:pPr>
      <w:r w:rsidRPr="004B0441">
        <w:rPr>
          <w:color w:val="000000"/>
        </w:rPr>
        <w:t>Persad, G. (2019). Fair access to prescription drugs: The roles of value-based and alternative pricing.</w:t>
      </w:r>
      <w:r w:rsidRPr="004B0441">
        <w:rPr>
          <w:rStyle w:val="apple-converted-space"/>
          <w:rFonts w:eastAsiaTheme="majorEastAsia"/>
          <w:color w:val="000000"/>
        </w:rPr>
        <w:t> </w:t>
      </w:r>
      <w:r w:rsidRPr="004B0441">
        <w:rPr>
          <w:rStyle w:val="Emphasis"/>
          <w:rFonts w:eastAsiaTheme="majorEastAsia"/>
          <w:color w:val="000000"/>
        </w:rPr>
        <w:t>The Journal of Law, Medicine &amp; Ethics</w:t>
      </w:r>
      <w:r w:rsidRPr="004B0441">
        <w:rPr>
          <w:color w:val="000000"/>
        </w:rPr>
        <w:t>, 47(3), 365–376.</w:t>
      </w:r>
      <w:r w:rsidRPr="004B0441">
        <w:rPr>
          <w:rStyle w:val="apple-converted-space"/>
          <w:rFonts w:eastAsiaTheme="majorEastAsia"/>
          <w:color w:val="000000"/>
        </w:rPr>
        <w:t> </w:t>
      </w:r>
      <w:hyperlink r:id="rId12" w:history="1">
        <w:r w:rsidRPr="004B0441">
          <w:rPr>
            <w:rStyle w:val="Hyperlink"/>
          </w:rPr>
          <w:t>https://doi.org/10.1177/1073110519876042</w:t>
        </w:r>
      </w:hyperlink>
      <w:r w:rsidR="0015631E" w:rsidRPr="004B0441">
        <w:rPr>
          <w:color w:val="000000"/>
        </w:rPr>
        <w:t xml:space="preserve"> </w:t>
      </w:r>
      <w:proofErr w:type="spellStart"/>
      <w:r w:rsidR="0015631E" w:rsidRPr="004B0441">
        <w:rPr>
          <w:color w:val="000000"/>
        </w:rPr>
        <w:t>Dusetzina</w:t>
      </w:r>
      <w:proofErr w:type="spellEnd"/>
      <w:r w:rsidR="0015631E" w:rsidRPr="004B0441">
        <w:rPr>
          <w:color w:val="000000"/>
        </w:rPr>
        <w:t xml:space="preserve">, S. B., </w:t>
      </w:r>
      <w:proofErr w:type="spellStart"/>
      <w:r w:rsidR="0015631E" w:rsidRPr="004B0441">
        <w:rPr>
          <w:color w:val="000000"/>
        </w:rPr>
        <w:t>Muluneh</w:t>
      </w:r>
      <w:proofErr w:type="spellEnd"/>
      <w:r w:rsidR="0015631E" w:rsidRPr="004B0441">
        <w:rPr>
          <w:color w:val="000000"/>
        </w:rPr>
        <w:t>, B., &amp; Keating, N. L. (2022).</w:t>
      </w:r>
      <w:r w:rsidR="0015631E" w:rsidRPr="004B0441">
        <w:rPr>
          <w:rStyle w:val="apple-converted-space"/>
          <w:rFonts w:eastAsiaTheme="majorEastAsia"/>
          <w:color w:val="000000"/>
        </w:rPr>
        <w:t> </w:t>
      </w:r>
      <w:r w:rsidR="0015631E" w:rsidRPr="004B0441">
        <w:rPr>
          <w:rStyle w:val="Strong"/>
          <w:rFonts w:eastAsiaTheme="majorEastAsia"/>
          <w:color w:val="000000"/>
        </w:rPr>
        <w:t>Policy options to reduce brand-name drug spending: Encouraging competition and increasing price transparency</w:t>
      </w:r>
      <w:r w:rsidR="0015631E" w:rsidRPr="004B0441">
        <w:rPr>
          <w:color w:val="000000"/>
        </w:rPr>
        <w:t>.</w:t>
      </w:r>
      <w:r w:rsidR="0015631E" w:rsidRPr="004B0441">
        <w:rPr>
          <w:rStyle w:val="apple-converted-space"/>
          <w:rFonts w:eastAsiaTheme="majorEastAsia"/>
          <w:color w:val="000000"/>
        </w:rPr>
        <w:t> </w:t>
      </w:r>
      <w:r w:rsidR="0015631E" w:rsidRPr="004B0441">
        <w:rPr>
          <w:rStyle w:val="Emphasis"/>
          <w:rFonts w:eastAsiaTheme="majorEastAsia"/>
          <w:color w:val="000000"/>
        </w:rPr>
        <w:t>Health Affairs</w:t>
      </w:r>
      <w:r w:rsidR="0015631E" w:rsidRPr="004B0441">
        <w:rPr>
          <w:color w:val="000000"/>
        </w:rPr>
        <w:t>, 41(3), 387–394.</w:t>
      </w:r>
      <w:r w:rsidR="0015631E" w:rsidRPr="004B0441">
        <w:rPr>
          <w:rStyle w:val="apple-converted-space"/>
          <w:rFonts w:eastAsiaTheme="majorEastAsia"/>
          <w:color w:val="000000"/>
        </w:rPr>
        <w:t> </w:t>
      </w:r>
      <w:hyperlink r:id="rId13" w:history="1">
        <w:r w:rsidR="00717A72" w:rsidRPr="004B0441">
          <w:rPr>
            <w:rStyle w:val="Hyperlink"/>
          </w:rPr>
          <w:t>https://doi.org/10.1377/hlthaff.2021.01113</w:t>
        </w:r>
      </w:hyperlink>
    </w:p>
    <w:p w14:paraId="7AC39405" w14:textId="77777777" w:rsidR="00717A72" w:rsidRPr="004B0441" w:rsidRDefault="0015631E" w:rsidP="00717A72">
      <w:pPr>
        <w:pStyle w:val="ListParagraph"/>
        <w:numPr>
          <w:ilvl w:val="0"/>
          <w:numId w:val="5"/>
        </w:numPr>
        <w:jc w:val="center"/>
      </w:pPr>
      <w:r w:rsidRPr="004B0441">
        <w:rPr>
          <w:color w:val="000000"/>
        </w:rPr>
        <w:t>KFF. (2023).</w:t>
      </w:r>
      <w:r w:rsidRPr="004B0441">
        <w:rPr>
          <w:rStyle w:val="apple-converted-space"/>
          <w:rFonts w:eastAsiaTheme="majorEastAsia"/>
          <w:color w:val="000000"/>
        </w:rPr>
        <w:t> </w:t>
      </w:r>
      <w:r w:rsidRPr="004B0441">
        <w:rPr>
          <w:rStyle w:val="Strong"/>
          <w:rFonts w:eastAsiaTheme="majorEastAsia"/>
          <w:color w:val="000000"/>
        </w:rPr>
        <w:t>How does prescription drug spending and use compare across large employer plans, Medicare Part D, and Medicaid?</w:t>
      </w:r>
      <w:r w:rsidRPr="004B0441">
        <w:rPr>
          <w:rStyle w:val="apple-converted-space"/>
          <w:rFonts w:eastAsiaTheme="majorEastAsia"/>
          <w:color w:val="000000"/>
        </w:rPr>
        <w:t> </w:t>
      </w:r>
      <w:r w:rsidRPr="004B0441">
        <w:rPr>
          <w:color w:val="000000"/>
        </w:rPr>
        <w:t>Kaiser Family Foundation.</w:t>
      </w:r>
      <w:r w:rsidRPr="004B0441">
        <w:rPr>
          <w:rStyle w:val="apple-converted-space"/>
          <w:rFonts w:eastAsiaTheme="majorEastAsia"/>
          <w:color w:val="000000"/>
        </w:rPr>
        <w:t> </w:t>
      </w:r>
      <w:hyperlink r:id="rId14" w:history="1">
        <w:r w:rsidR="00717A72" w:rsidRPr="004B0441">
          <w:rPr>
            <w:rStyle w:val="Hyperlink"/>
          </w:rPr>
          <w:t>https://www.kff.org/medicare/issue-brief/how-does-prescription-drug-spending-and-use-compare-across-large-employer-plans-medicare-part-d-and-medicaid/</w:t>
        </w:r>
      </w:hyperlink>
    </w:p>
    <w:p w14:paraId="3C127482" w14:textId="77777777" w:rsidR="003E0FDD" w:rsidRPr="004B0441" w:rsidRDefault="0015631E" w:rsidP="003E0FDD">
      <w:pPr>
        <w:pStyle w:val="ListParagraph"/>
        <w:numPr>
          <w:ilvl w:val="0"/>
          <w:numId w:val="5"/>
        </w:numPr>
        <w:jc w:val="center"/>
      </w:pPr>
      <w:r w:rsidRPr="004B0441">
        <w:rPr>
          <w:color w:val="000000"/>
        </w:rPr>
        <w:t>Sood, N., Shih, T., Van Nuys, K., &amp; Goldman, D. (2017).</w:t>
      </w:r>
      <w:r w:rsidRPr="004B0441">
        <w:rPr>
          <w:rStyle w:val="apple-converted-space"/>
          <w:rFonts w:eastAsiaTheme="majorEastAsia"/>
          <w:color w:val="000000"/>
        </w:rPr>
        <w:t> </w:t>
      </w:r>
      <w:r w:rsidRPr="004B0441">
        <w:rPr>
          <w:rStyle w:val="Strong"/>
          <w:rFonts w:eastAsiaTheme="majorEastAsia"/>
          <w:color w:val="000000"/>
        </w:rPr>
        <w:t>The flow of money through the pharmaceutical distribution system</w:t>
      </w:r>
      <w:r w:rsidRPr="004B0441">
        <w:rPr>
          <w:color w:val="000000"/>
        </w:rPr>
        <w:t>.</w:t>
      </w:r>
      <w:r w:rsidRPr="004B0441">
        <w:rPr>
          <w:rStyle w:val="apple-converted-space"/>
          <w:rFonts w:eastAsiaTheme="majorEastAsia"/>
          <w:color w:val="000000"/>
        </w:rPr>
        <w:t> </w:t>
      </w:r>
      <w:r w:rsidRPr="004B0441">
        <w:rPr>
          <w:rStyle w:val="Emphasis"/>
          <w:rFonts w:eastAsiaTheme="majorEastAsia"/>
          <w:color w:val="000000"/>
        </w:rPr>
        <w:t>USC Leonard D. Schaeffer Center for Health Policy &amp; Economics</w:t>
      </w:r>
      <w:r w:rsidRPr="004B0441">
        <w:rPr>
          <w:color w:val="000000"/>
        </w:rPr>
        <w:t>.</w:t>
      </w:r>
      <w:r w:rsidRPr="004B0441">
        <w:rPr>
          <w:rStyle w:val="apple-converted-space"/>
          <w:rFonts w:eastAsiaTheme="majorEastAsia"/>
          <w:color w:val="000000"/>
        </w:rPr>
        <w:t> </w:t>
      </w:r>
      <w:hyperlink r:id="rId15" w:history="1">
        <w:r w:rsidR="003E0FDD" w:rsidRPr="004B0441">
          <w:rPr>
            <w:rStyle w:val="Hyperlink"/>
          </w:rPr>
          <w:t>https://healthpolicy.usc.edu/wp-content/uploads/2017/06/USC_Flow-of-MoneyWhitePaper_Final_Spreads.pdf</w:t>
        </w:r>
      </w:hyperlink>
    </w:p>
    <w:p w14:paraId="2B0C8043" w14:textId="77777777" w:rsidR="003E0FDD" w:rsidRPr="004B0441" w:rsidRDefault="003E0FDD" w:rsidP="003E0FDD">
      <w:pPr>
        <w:pStyle w:val="ListParagraph"/>
        <w:numPr>
          <w:ilvl w:val="0"/>
          <w:numId w:val="5"/>
        </w:numPr>
        <w:jc w:val="center"/>
      </w:pPr>
      <w:proofErr w:type="spellStart"/>
      <w:r w:rsidRPr="004B0441">
        <w:rPr>
          <w:color w:val="000000"/>
        </w:rPr>
        <w:t>Dusetzina</w:t>
      </w:r>
      <w:proofErr w:type="spellEnd"/>
      <w:r w:rsidRPr="004B0441">
        <w:rPr>
          <w:color w:val="000000"/>
        </w:rPr>
        <w:t xml:space="preserve">, S. B., </w:t>
      </w:r>
      <w:proofErr w:type="spellStart"/>
      <w:r w:rsidRPr="004B0441">
        <w:rPr>
          <w:color w:val="000000"/>
        </w:rPr>
        <w:t>Muluneh</w:t>
      </w:r>
      <w:proofErr w:type="spellEnd"/>
      <w:r w:rsidRPr="004B0441">
        <w:rPr>
          <w:color w:val="000000"/>
        </w:rPr>
        <w:t>, B., &amp; Keating, N. L. (2017).</w:t>
      </w:r>
      <w:r w:rsidRPr="004B0441">
        <w:rPr>
          <w:rStyle w:val="apple-converted-space"/>
          <w:rFonts w:eastAsiaTheme="majorEastAsia"/>
          <w:color w:val="000000"/>
        </w:rPr>
        <w:t> </w:t>
      </w:r>
      <w:r w:rsidRPr="004B0441">
        <w:rPr>
          <w:rStyle w:val="Emphasis"/>
          <w:rFonts w:eastAsiaTheme="majorEastAsia"/>
          <w:color w:val="000000"/>
        </w:rPr>
        <w:t>Policy options to reduce brand-name drug spending: Encouraging competition and increasing price transparency</w:t>
      </w:r>
      <w:r w:rsidRPr="004B0441">
        <w:rPr>
          <w:color w:val="000000"/>
        </w:rPr>
        <w:t>. Health Affairs, 36(3), 391–397.</w:t>
      </w:r>
      <w:r w:rsidRPr="004B0441">
        <w:rPr>
          <w:rStyle w:val="apple-converted-space"/>
          <w:rFonts w:eastAsiaTheme="majorEastAsia"/>
          <w:color w:val="000000"/>
        </w:rPr>
        <w:t> </w:t>
      </w:r>
      <w:hyperlink r:id="rId16" w:history="1">
        <w:r w:rsidRPr="004B0441">
          <w:rPr>
            <w:rStyle w:val="Hyperlink"/>
          </w:rPr>
          <w:t>https://doi.org/10.1377/hlthaff.2016.1630</w:t>
        </w:r>
      </w:hyperlink>
    </w:p>
    <w:p w14:paraId="19A1466F" w14:textId="77777777" w:rsidR="003E0FDD" w:rsidRPr="004B0441" w:rsidRDefault="003E0FDD" w:rsidP="003E0FDD">
      <w:pPr>
        <w:pStyle w:val="ListParagraph"/>
        <w:numPr>
          <w:ilvl w:val="0"/>
          <w:numId w:val="5"/>
        </w:numPr>
        <w:jc w:val="center"/>
      </w:pPr>
      <w:r w:rsidRPr="004B0441">
        <w:rPr>
          <w:color w:val="000000"/>
        </w:rPr>
        <w:lastRenderedPageBreak/>
        <w:t>Ginsburg, P. B. (2019).</w:t>
      </w:r>
      <w:r w:rsidRPr="004B0441">
        <w:rPr>
          <w:rStyle w:val="apple-converted-space"/>
          <w:rFonts w:eastAsiaTheme="majorEastAsia"/>
          <w:color w:val="000000"/>
        </w:rPr>
        <w:t> </w:t>
      </w:r>
      <w:r w:rsidRPr="004B0441">
        <w:rPr>
          <w:rStyle w:val="Emphasis"/>
          <w:rFonts w:eastAsiaTheme="majorEastAsia"/>
          <w:color w:val="000000"/>
        </w:rPr>
        <w:t>Shopping for price in medical care</w:t>
      </w:r>
      <w:r w:rsidRPr="004B0441">
        <w:rPr>
          <w:color w:val="000000"/>
        </w:rPr>
        <w:t>. Health Affairs, 38(3), 437–443.</w:t>
      </w:r>
      <w:r w:rsidRPr="004B0441">
        <w:rPr>
          <w:rStyle w:val="apple-converted-space"/>
          <w:rFonts w:eastAsiaTheme="majorEastAsia"/>
          <w:color w:val="000000"/>
        </w:rPr>
        <w:t> </w:t>
      </w:r>
      <w:hyperlink r:id="rId17" w:history="1">
        <w:r w:rsidRPr="004B0441">
          <w:rPr>
            <w:rStyle w:val="Hyperlink"/>
          </w:rPr>
          <w:t>https://doi.org/10.1377/hlthaff.2018.05105</w:t>
        </w:r>
      </w:hyperlink>
    </w:p>
    <w:p w14:paraId="5B17DDB9" w14:textId="77777777" w:rsidR="003E0FDD" w:rsidRPr="004B0441" w:rsidRDefault="003E0FDD" w:rsidP="003E0FDD">
      <w:pPr>
        <w:pStyle w:val="ListParagraph"/>
        <w:numPr>
          <w:ilvl w:val="0"/>
          <w:numId w:val="5"/>
        </w:numPr>
        <w:jc w:val="center"/>
      </w:pPr>
      <w:r w:rsidRPr="004B0441">
        <w:rPr>
          <w:color w:val="000000"/>
        </w:rPr>
        <w:t>IQVIA Institute for Human Data Science. (2022).</w:t>
      </w:r>
      <w:r w:rsidRPr="004B0441">
        <w:rPr>
          <w:rStyle w:val="apple-converted-space"/>
          <w:rFonts w:eastAsiaTheme="majorEastAsia"/>
          <w:color w:val="000000"/>
        </w:rPr>
        <w:t> </w:t>
      </w:r>
      <w:r w:rsidRPr="004B0441">
        <w:rPr>
          <w:rStyle w:val="Emphasis"/>
          <w:rFonts w:eastAsiaTheme="majorEastAsia"/>
          <w:color w:val="000000"/>
        </w:rPr>
        <w:t>The use of medicines in the U.S.: Spending and usage trends and outlook to 2026</w:t>
      </w:r>
      <w:r w:rsidRPr="004B0441">
        <w:rPr>
          <w:color w:val="000000"/>
        </w:rPr>
        <w:t>.</w:t>
      </w:r>
      <w:r w:rsidRPr="004B0441">
        <w:rPr>
          <w:rStyle w:val="apple-converted-space"/>
          <w:rFonts w:eastAsiaTheme="majorEastAsia"/>
          <w:color w:val="000000"/>
        </w:rPr>
        <w:t> </w:t>
      </w:r>
      <w:hyperlink r:id="rId18" w:history="1">
        <w:r w:rsidRPr="004B0441">
          <w:rPr>
            <w:rStyle w:val="Hyperlink"/>
          </w:rPr>
          <w:t>https://www.iqvia.com/insights/the-iqvia-institute/reports/the-use-of-medicines-in-the-us-2022</w:t>
        </w:r>
      </w:hyperlink>
    </w:p>
    <w:p w14:paraId="3DA1F466" w14:textId="77777777" w:rsidR="003E0FDD" w:rsidRPr="004B0441" w:rsidRDefault="003E0FDD" w:rsidP="003E0FDD">
      <w:pPr>
        <w:pStyle w:val="ListParagraph"/>
        <w:numPr>
          <w:ilvl w:val="0"/>
          <w:numId w:val="5"/>
        </w:numPr>
        <w:jc w:val="center"/>
      </w:pPr>
      <w:r w:rsidRPr="004B0441">
        <w:rPr>
          <w:color w:val="000000"/>
        </w:rPr>
        <w:t>Shih, T., Sood, N., &amp; Van Nuys, K. (2021).</w:t>
      </w:r>
      <w:r w:rsidRPr="004B0441">
        <w:rPr>
          <w:rStyle w:val="apple-converted-space"/>
          <w:rFonts w:eastAsiaTheme="majorEastAsia"/>
          <w:color w:val="000000"/>
        </w:rPr>
        <w:t> </w:t>
      </w:r>
      <w:r w:rsidRPr="004B0441">
        <w:rPr>
          <w:rStyle w:val="Emphasis"/>
          <w:rFonts w:eastAsiaTheme="majorEastAsia"/>
          <w:color w:val="000000"/>
        </w:rPr>
        <w:t>Mapping the pricing maze: U.S. pharmaceutical cost drivers and policy options</w:t>
      </w:r>
      <w:r w:rsidRPr="004B0441">
        <w:rPr>
          <w:color w:val="000000"/>
        </w:rPr>
        <w:t>. USC Schaeffer Center.</w:t>
      </w:r>
      <w:r w:rsidRPr="004B0441">
        <w:rPr>
          <w:rStyle w:val="apple-converted-space"/>
          <w:rFonts w:eastAsiaTheme="majorEastAsia"/>
          <w:color w:val="000000"/>
        </w:rPr>
        <w:t> </w:t>
      </w:r>
      <w:hyperlink r:id="rId19" w:history="1">
        <w:r w:rsidRPr="004B0441">
          <w:rPr>
            <w:rStyle w:val="Hyperlink"/>
          </w:rPr>
          <w:t>https://healthpolicy.usc.edu</w:t>
        </w:r>
      </w:hyperlink>
    </w:p>
    <w:p w14:paraId="0929C001" w14:textId="77777777" w:rsidR="00090479" w:rsidRPr="004B0441" w:rsidRDefault="003E0FDD" w:rsidP="00090479">
      <w:pPr>
        <w:pStyle w:val="ListParagraph"/>
        <w:numPr>
          <w:ilvl w:val="0"/>
          <w:numId w:val="5"/>
        </w:numPr>
        <w:jc w:val="center"/>
      </w:pPr>
      <w:r w:rsidRPr="004B0441">
        <w:rPr>
          <w:color w:val="000000"/>
        </w:rPr>
        <w:t>Sood, N., Shih, T., Van Nuys, K., &amp; Goldman, D. P. (2017).</w:t>
      </w:r>
      <w:r w:rsidRPr="004B0441">
        <w:rPr>
          <w:rStyle w:val="apple-converted-space"/>
          <w:rFonts w:eastAsiaTheme="majorEastAsia"/>
          <w:color w:val="000000"/>
        </w:rPr>
        <w:t> </w:t>
      </w:r>
      <w:r w:rsidRPr="004B0441">
        <w:rPr>
          <w:rStyle w:val="Emphasis"/>
          <w:rFonts w:eastAsiaTheme="majorEastAsia"/>
          <w:color w:val="000000"/>
        </w:rPr>
        <w:t>The flow of money through the pharmaceutical distribution system</w:t>
      </w:r>
      <w:r w:rsidRPr="004B0441">
        <w:rPr>
          <w:color w:val="000000"/>
        </w:rPr>
        <w:t>. USC Schaeffer Center.</w:t>
      </w:r>
      <w:r w:rsidRPr="004B0441">
        <w:rPr>
          <w:rStyle w:val="apple-converted-space"/>
          <w:rFonts w:eastAsiaTheme="majorEastAsia"/>
          <w:color w:val="000000"/>
        </w:rPr>
        <w:t> </w:t>
      </w:r>
      <w:hyperlink r:id="rId20" w:history="1">
        <w:r w:rsidRPr="004B0441">
          <w:rPr>
            <w:rStyle w:val="Hyperlink"/>
          </w:rPr>
          <w:t>https://healthpolicy.usc.edu/research/the-flow-of-money-through-the-pharmaceutical-distribution-system/</w:t>
        </w:r>
      </w:hyperlink>
    </w:p>
    <w:p w14:paraId="21B79CC3" w14:textId="77777777" w:rsidR="00090479" w:rsidRPr="004B0441" w:rsidRDefault="00090479" w:rsidP="00090479">
      <w:pPr>
        <w:pStyle w:val="ListParagraph"/>
        <w:numPr>
          <w:ilvl w:val="0"/>
          <w:numId w:val="5"/>
        </w:numPr>
        <w:jc w:val="center"/>
      </w:pPr>
      <w:r w:rsidRPr="004B0441">
        <w:rPr>
          <w:color w:val="000000"/>
        </w:rPr>
        <w:t xml:space="preserve">Mulcahy, A. W., Whaley, C. M., &amp; </w:t>
      </w:r>
      <w:proofErr w:type="spellStart"/>
      <w:r w:rsidRPr="004B0441">
        <w:rPr>
          <w:color w:val="000000"/>
        </w:rPr>
        <w:t>Schwam</w:t>
      </w:r>
      <w:proofErr w:type="spellEnd"/>
      <w:r w:rsidRPr="004B0441">
        <w:rPr>
          <w:color w:val="000000"/>
        </w:rPr>
        <w:t>, D. (2021).</w:t>
      </w:r>
      <w:r w:rsidRPr="004B0441">
        <w:rPr>
          <w:rStyle w:val="apple-converted-space"/>
          <w:rFonts w:eastAsiaTheme="majorEastAsia"/>
          <w:color w:val="000000"/>
        </w:rPr>
        <w:t> </w:t>
      </w:r>
      <w:r w:rsidRPr="004B0441">
        <w:rPr>
          <w:rStyle w:val="Emphasis"/>
          <w:rFonts w:eastAsiaTheme="majorEastAsia"/>
          <w:color w:val="000000"/>
        </w:rPr>
        <w:t>Prescription drug use and spending: Estimates from IQVIA's National Sales Perspectives.</w:t>
      </w:r>
      <w:r w:rsidRPr="004B0441">
        <w:rPr>
          <w:rStyle w:val="apple-converted-space"/>
          <w:rFonts w:eastAsiaTheme="majorEastAsia"/>
          <w:color w:val="000000"/>
        </w:rPr>
        <w:t> </w:t>
      </w:r>
      <w:r w:rsidRPr="004B0441">
        <w:rPr>
          <w:color w:val="000000"/>
        </w:rPr>
        <w:t>RAND Corporation.</w:t>
      </w:r>
      <w:r w:rsidRPr="004B0441">
        <w:rPr>
          <w:rStyle w:val="apple-converted-space"/>
          <w:rFonts w:eastAsiaTheme="majorEastAsia"/>
          <w:color w:val="000000"/>
        </w:rPr>
        <w:t> </w:t>
      </w:r>
      <w:hyperlink r:id="rId21" w:tgtFrame="_new" w:history="1">
        <w:r w:rsidRPr="004B0441">
          <w:rPr>
            <w:rStyle w:val="Hyperlink"/>
            <w:rFonts w:eastAsiaTheme="majorEastAsia"/>
          </w:rPr>
          <w:t>https://doi.org/10.7249/RRA713-1</w:t>
        </w:r>
      </w:hyperlink>
    </w:p>
    <w:p w14:paraId="1C05B9BC" w14:textId="77777777" w:rsidR="00090479" w:rsidRPr="004B0441" w:rsidRDefault="00090479" w:rsidP="00090479">
      <w:pPr>
        <w:pStyle w:val="ListParagraph"/>
        <w:numPr>
          <w:ilvl w:val="0"/>
          <w:numId w:val="5"/>
        </w:numPr>
        <w:jc w:val="center"/>
      </w:pPr>
      <w:r w:rsidRPr="004B0441">
        <w:rPr>
          <w:color w:val="000000"/>
        </w:rPr>
        <w:t xml:space="preserve">Sachs, R. E., </w:t>
      </w:r>
      <w:proofErr w:type="spellStart"/>
      <w:r w:rsidRPr="004B0441">
        <w:rPr>
          <w:color w:val="000000"/>
        </w:rPr>
        <w:t>Frakt</w:t>
      </w:r>
      <w:proofErr w:type="spellEnd"/>
      <w:r w:rsidRPr="004B0441">
        <w:rPr>
          <w:color w:val="000000"/>
        </w:rPr>
        <w:t>, A. B., &amp; Ginsburg, P. B. (2022).</w:t>
      </w:r>
      <w:r w:rsidRPr="004B0441">
        <w:rPr>
          <w:rStyle w:val="apple-converted-space"/>
          <w:rFonts w:eastAsiaTheme="majorEastAsia"/>
          <w:color w:val="000000"/>
        </w:rPr>
        <w:t> </w:t>
      </w:r>
      <w:r w:rsidRPr="004B0441">
        <w:rPr>
          <w:rStyle w:val="Emphasis"/>
          <w:rFonts w:eastAsiaTheme="majorEastAsia"/>
          <w:color w:val="000000"/>
        </w:rPr>
        <w:t>Achieving savings from generic drugs.</w:t>
      </w:r>
      <w:r w:rsidRPr="004B0441">
        <w:rPr>
          <w:rStyle w:val="apple-converted-space"/>
          <w:rFonts w:eastAsiaTheme="majorEastAsia"/>
          <w:color w:val="000000"/>
        </w:rPr>
        <w:t> </w:t>
      </w:r>
      <w:r w:rsidRPr="004B0441">
        <w:rPr>
          <w:color w:val="000000"/>
        </w:rPr>
        <w:t>New England Journal of Medicine, 387(18), 1671–1674.</w:t>
      </w:r>
      <w:r w:rsidRPr="004B0441">
        <w:rPr>
          <w:rStyle w:val="apple-converted-space"/>
          <w:rFonts w:eastAsiaTheme="majorEastAsia"/>
          <w:color w:val="000000"/>
        </w:rPr>
        <w:t> </w:t>
      </w:r>
      <w:hyperlink r:id="rId22" w:tgtFrame="_new" w:history="1">
        <w:r w:rsidRPr="004B0441">
          <w:rPr>
            <w:rStyle w:val="Hyperlink"/>
            <w:rFonts w:eastAsiaTheme="majorEastAsia"/>
          </w:rPr>
          <w:t>https://doi.org/10.1056/NEJMp2210493</w:t>
        </w:r>
      </w:hyperlink>
    </w:p>
    <w:p w14:paraId="22B3336C" w14:textId="77777777" w:rsidR="00090479" w:rsidRPr="004B0441" w:rsidRDefault="00090479" w:rsidP="00090479">
      <w:pPr>
        <w:pStyle w:val="ListParagraph"/>
        <w:numPr>
          <w:ilvl w:val="0"/>
          <w:numId w:val="5"/>
        </w:numPr>
        <w:jc w:val="center"/>
      </w:pPr>
      <w:r w:rsidRPr="004B0441">
        <w:rPr>
          <w:color w:val="000000"/>
        </w:rPr>
        <w:t xml:space="preserve">Zhang, Y., </w:t>
      </w:r>
      <w:proofErr w:type="spellStart"/>
      <w:r w:rsidRPr="004B0441">
        <w:rPr>
          <w:color w:val="000000"/>
        </w:rPr>
        <w:t>Gellad</w:t>
      </w:r>
      <w:proofErr w:type="spellEnd"/>
      <w:r w:rsidRPr="004B0441">
        <w:rPr>
          <w:color w:val="000000"/>
        </w:rPr>
        <w:t>, W. F., &amp; Donohue, J. M. (2018).</w:t>
      </w:r>
      <w:r w:rsidRPr="004B0441">
        <w:rPr>
          <w:rStyle w:val="apple-converted-space"/>
          <w:rFonts w:eastAsiaTheme="majorEastAsia"/>
          <w:color w:val="000000"/>
        </w:rPr>
        <w:t> </w:t>
      </w:r>
      <w:r w:rsidRPr="004B0441">
        <w:rPr>
          <w:rStyle w:val="Emphasis"/>
          <w:rFonts w:eastAsiaTheme="majorEastAsia"/>
          <w:color w:val="000000"/>
        </w:rPr>
        <w:t>Suboptimal prescribing in Medicare Part D: A problem that will get worse.</w:t>
      </w:r>
      <w:r w:rsidRPr="004B0441">
        <w:rPr>
          <w:rStyle w:val="apple-converted-space"/>
          <w:rFonts w:eastAsiaTheme="majorEastAsia"/>
          <w:color w:val="000000"/>
        </w:rPr>
        <w:t> </w:t>
      </w:r>
      <w:r w:rsidRPr="004B0441">
        <w:rPr>
          <w:color w:val="000000"/>
        </w:rPr>
        <w:t>Health Affairs, 37(10), 1685–1691.</w:t>
      </w:r>
      <w:r w:rsidRPr="004B0441">
        <w:rPr>
          <w:rStyle w:val="apple-converted-space"/>
          <w:rFonts w:eastAsiaTheme="majorEastAsia"/>
          <w:color w:val="000000"/>
        </w:rPr>
        <w:t> </w:t>
      </w:r>
      <w:hyperlink r:id="rId23" w:tgtFrame="_new" w:history="1">
        <w:r w:rsidRPr="004B0441">
          <w:rPr>
            <w:rStyle w:val="Hyperlink"/>
            <w:rFonts w:eastAsiaTheme="majorEastAsia"/>
          </w:rPr>
          <w:t>https://doi.org/10.1377/hlthaff.2018.0412</w:t>
        </w:r>
      </w:hyperlink>
    </w:p>
    <w:p w14:paraId="4FC86CB5" w14:textId="77777777" w:rsidR="00C21ED0" w:rsidRPr="00C21ED0" w:rsidRDefault="00090479" w:rsidP="00C21ED0">
      <w:pPr>
        <w:pStyle w:val="ListParagraph"/>
        <w:numPr>
          <w:ilvl w:val="0"/>
          <w:numId w:val="5"/>
        </w:numPr>
        <w:jc w:val="center"/>
      </w:pPr>
      <w:r w:rsidRPr="004B0441">
        <w:rPr>
          <w:color w:val="000000"/>
        </w:rPr>
        <w:t>Centers for Medicare &amp; Medicaid Services. (2024).</w:t>
      </w:r>
      <w:r w:rsidRPr="004B0441">
        <w:rPr>
          <w:rStyle w:val="apple-converted-space"/>
          <w:rFonts w:eastAsiaTheme="majorEastAsia"/>
          <w:color w:val="000000"/>
        </w:rPr>
        <w:t> </w:t>
      </w:r>
      <w:r w:rsidRPr="004B0441">
        <w:rPr>
          <w:rStyle w:val="Emphasis"/>
          <w:rFonts w:eastAsiaTheme="majorEastAsia"/>
          <w:color w:val="000000"/>
        </w:rPr>
        <w:t>Medicare Part D Spending by Drug</w:t>
      </w:r>
      <w:r w:rsidRPr="004B0441">
        <w:rPr>
          <w:color w:val="000000"/>
        </w:rPr>
        <w:t>.</w:t>
      </w:r>
      <w:r w:rsidRPr="004B0441">
        <w:rPr>
          <w:rStyle w:val="apple-converted-space"/>
          <w:rFonts w:eastAsiaTheme="majorEastAsia"/>
          <w:color w:val="000000"/>
        </w:rPr>
        <w:t> </w:t>
      </w:r>
      <w:hyperlink r:id="rId24" w:tgtFrame="_new" w:history="1">
        <w:r w:rsidRPr="004B0441">
          <w:rPr>
            <w:rStyle w:val="Hyperlink"/>
            <w:rFonts w:eastAsiaTheme="majorEastAsia"/>
          </w:rPr>
          <w:t>https://data.cms.gov</w:t>
        </w:r>
      </w:hyperlink>
    </w:p>
    <w:p w14:paraId="56FF379D" w14:textId="77777777" w:rsidR="00C21ED0" w:rsidRDefault="00C21ED0" w:rsidP="00C21ED0">
      <w:pPr>
        <w:pStyle w:val="ListParagraph"/>
        <w:numPr>
          <w:ilvl w:val="0"/>
          <w:numId w:val="5"/>
        </w:numPr>
        <w:jc w:val="center"/>
      </w:pPr>
      <w:r>
        <w:t xml:space="preserve">Carrier, M. A., &amp; </w:t>
      </w:r>
      <w:proofErr w:type="spellStart"/>
      <w:r>
        <w:t>Shadowen</w:t>
      </w:r>
      <w:proofErr w:type="spellEnd"/>
      <w:r>
        <w:t>, C. (2016).</w:t>
      </w:r>
      <w:r w:rsidRPr="00C21ED0">
        <w:rPr>
          <w:rStyle w:val="apple-converted-space"/>
          <w:rFonts w:eastAsiaTheme="majorEastAsia"/>
        </w:rPr>
        <w:t> </w:t>
      </w:r>
      <w:r w:rsidRPr="00C21ED0">
        <w:rPr>
          <w:rStyle w:val="Emphasis"/>
          <w:rFonts w:eastAsiaTheme="majorEastAsia"/>
        </w:rPr>
        <w:t>Product hopping: A new framework</w:t>
      </w:r>
      <w:r>
        <w:t>. Notre Dame Law Review, 91(1), 167–230.</w:t>
      </w:r>
    </w:p>
    <w:p w14:paraId="18057667" w14:textId="77777777" w:rsidR="00C21ED0" w:rsidRDefault="00C21ED0" w:rsidP="00C21ED0">
      <w:pPr>
        <w:pStyle w:val="ListParagraph"/>
        <w:numPr>
          <w:ilvl w:val="0"/>
          <w:numId w:val="5"/>
        </w:numPr>
        <w:jc w:val="center"/>
      </w:pPr>
      <w:r>
        <w:t xml:space="preserve"> Congressional Budget Office. (2022).</w:t>
      </w:r>
      <w:r w:rsidRPr="00C21ED0">
        <w:rPr>
          <w:rStyle w:val="apple-converted-space"/>
          <w:rFonts w:eastAsiaTheme="majorEastAsia"/>
        </w:rPr>
        <w:t> </w:t>
      </w:r>
      <w:r w:rsidRPr="00C21ED0">
        <w:rPr>
          <w:rStyle w:val="Emphasis"/>
          <w:rFonts w:eastAsiaTheme="majorEastAsia"/>
        </w:rPr>
        <w:t>Prescription drugs: Spending, use, and pricing</w:t>
      </w:r>
      <w:r>
        <w:t>.</w:t>
      </w:r>
      <w:r w:rsidRPr="00C21ED0">
        <w:rPr>
          <w:rStyle w:val="apple-converted-space"/>
          <w:rFonts w:eastAsiaTheme="majorEastAsia"/>
        </w:rPr>
        <w:t> </w:t>
      </w:r>
      <w:hyperlink r:id="rId25" w:history="1">
        <w:r w:rsidRPr="00B57520">
          <w:rPr>
            <w:rStyle w:val="Hyperlink"/>
          </w:rPr>
          <w:t>https://www.cbo.gov/publication/57523</w:t>
        </w:r>
      </w:hyperlink>
    </w:p>
    <w:p w14:paraId="249C0444" w14:textId="77777777" w:rsidR="00C21ED0" w:rsidRDefault="00C21ED0" w:rsidP="00C21ED0">
      <w:pPr>
        <w:pStyle w:val="ListParagraph"/>
        <w:numPr>
          <w:ilvl w:val="0"/>
          <w:numId w:val="5"/>
        </w:numPr>
        <w:jc w:val="center"/>
      </w:pPr>
      <w:r>
        <w:t xml:space="preserve">Kesselheim, A. S., </w:t>
      </w:r>
      <w:proofErr w:type="spellStart"/>
      <w:r>
        <w:t>Misono</w:t>
      </w:r>
      <w:proofErr w:type="spellEnd"/>
      <w:r>
        <w:t xml:space="preserve">, A. S., Lee, J. L., Stedman, M. R., Brookhart, M. A., Choudhry, N. K., ... &amp; </w:t>
      </w:r>
      <w:proofErr w:type="spellStart"/>
      <w:r>
        <w:t>Avorn</w:t>
      </w:r>
      <w:proofErr w:type="spellEnd"/>
      <w:r>
        <w:t>, J. (2016). Clinical equivalence of generic and brand-name drugs used in cardiovascular disease: A systematic review and meta-analysis.</w:t>
      </w:r>
      <w:r w:rsidRPr="00C21ED0">
        <w:rPr>
          <w:rStyle w:val="apple-converted-space"/>
          <w:rFonts w:eastAsiaTheme="majorEastAsia"/>
        </w:rPr>
        <w:t> </w:t>
      </w:r>
      <w:r w:rsidRPr="00C21ED0">
        <w:rPr>
          <w:rStyle w:val="Emphasis"/>
          <w:rFonts w:eastAsiaTheme="majorEastAsia"/>
        </w:rPr>
        <w:t>JAMA</w:t>
      </w:r>
      <w:r>
        <w:t>, 304(21), 2474–2480.</w:t>
      </w:r>
      <w:r w:rsidRPr="00C21ED0">
        <w:rPr>
          <w:rStyle w:val="apple-converted-space"/>
          <w:rFonts w:eastAsiaTheme="majorEastAsia"/>
        </w:rPr>
        <w:t> </w:t>
      </w:r>
      <w:hyperlink r:id="rId26" w:history="1">
        <w:r w:rsidRPr="00B57520">
          <w:rPr>
            <w:rStyle w:val="Hyperlink"/>
          </w:rPr>
          <w:t>https://doi.org/10.1001/jama.2010.1696</w:t>
        </w:r>
      </w:hyperlink>
    </w:p>
    <w:p w14:paraId="105C7D0C" w14:textId="77777777" w:rsidR="00C21ED0" w:rsidRDefault="00C21ED0" w:rsidP="00C21ED0">
      <w:pPr>
        <w:pStyle w:val="ListParagraph"/>
        <w:numPr>
          <w:ilvl w:val="0"/>
          <w:numId w:val="5"/>
        </w:numPr>
        <w:jc w:val="center"/>
      </w:pPr>
      <w:r>
        <w:t xml:space="preserve">Mulcahy, A. W., Whaley, C. M., &amp; </w:t>
      </w:r>
      <w:proofErr w:type="spellStart"/>
      <w:r>
        <w:t>Schwam</w:t>
      </w:r>
      <w:proofErr w:type="spellEnd"/>
      <w:r>
        <w:t>, D. (2021).</w:t>
      </w:r>
      <w:r w:rsidRPr="00C21ED0">
        <w:rPr>
          <w:rStyle w:val="apple-converted-space"/>
          <w:rFonts w:eastAsiaTheme="majorEastAsia"/>
        </w:rPr>
        <w:t> </w:t>
      </w:r>
      <w:r w:rsidRPr="00C21ED0">
        <w:rPr>
          <w:rStyle w:val="Emphasis"/>
          <w:rFonts w:eastAsiaTheme="majorEastAsia"/>
        </w:rPr>
        <w:t>Prescription drug use and spending: Estimates from IQVIA's National Sales Perspectives.</w:t>
      </w:r>
      <w:r w:rsidRPr="00C21ED0">
        <w:rPr>
          <w:rStyle w:val="apple-converted-space"/>
          <w:rFonts w:eastAsiaTheme="majorEastAsia"/>
        </w:rPr>
        <w:t> </w:t>
      </w:r>
      <w:r>
        <w:t>RAND Corporation.</w:t>
      </w:r>
      <w:r w:rsidRPr="00C21ED0">
        <w:rPr>
          <w:rStyle w:val="apple-converted-space"/>
          <w:rFonts w:eastAsiaTheme="majorEastAsia"/>
        </w:rPr>
        <w:t> </w:t>
      </w:r>
      <w:hyperlink r:id="rId27" w:tgtFrame="_new" w:history="1">
        <w:r w:rsidRPr="00C21ED0">
          <w:rPr>
            <w:rStyle w:val="Hyperlink"/>
            <w:rFonts w:eastAsiaTheme="majorEastAsia"/>
          </w:rPr>
          <w:t>https://doi.org/10.7249/RRA713-1</w:t>
        </w:r>
      </w:hyperlink>
    </w:p>
    <w:p w14:paraId="4735EEC1" w14:textId="77777777" w:rsidR="00C21ED0" w:rsidRPr="004B0441" w:rsidRDefault="00C21ED0" w:rsidP="00C21ED0">
      <w:pPr>
        <w:pStyle w:val="ListParagraph"/>
      </w:pPr>
    </w:p>
    <w:p w14:paraId="7B154132" w14:textId="77777777" w:rsidR="003E0FDD" w:rsidRPr="004B0441" w:rsidRDefault="003E0FDD" w:rsidP="004F18E4"/>
    <w:sectPr w:rsidR="003E0FDD" w:rsidRPr="004B0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1B25"/>
    <w:multiLevelType w:val="hybridMultilevel"/>
    <w:tmpl w:val="E02A6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92382"/>
    <w:multiLevelType w:val="multilevel"/>
    <w:tmpl w:val="FA96ECF6"/>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F1EE7"/>
    <w:multiLevelType w:val="multilevel"/>
    <w:tmpl w:val="5A6C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43FA7"/>
    <w:multiLevelType w:val="multilevel"/>
    <w:tmpl w:val="4268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646D6"/>
    <w:multiLevelType w:val="multilevel"/>
    <w:tmpl w:val="FA96ECF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757E9"/>
    <w:multiLevelType w:val="hybridMultilevel"/>
    <w:tmpl w:val="977A9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533E8"/>
    <w:multiLevelType w:val="multilevel"/>
    <w:tmpl w:val="F0A2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F403A"/>
    <w:multiLevelType w:val="hybridMultilevel"/>
    <w:tmpl w:val="650A9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BF7D77"/>
    <w:multiLevelType w:val="multilevel"/>
    <w:tmpl w:val="185C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827477"/>
    <w:multiLevelType w:val="multilevel"/>
    <w:tmpl w:val="9F2E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10A2C"/>
    <w:multiLevelType w:val="hybridMultilevel"/>
    <w:tmpl w:val="83DAA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142612">
    <w:abstractNumId w:val="9"/>
  </w:num>
  <w:num w:numId="2" w16cid:durableId="1892493374">
    <w:abstractNumId w:val="3"/>
  </w:num>
  <w:num w:numId="3" w16cid:durableId="146092309">
    <w:abstractNumId w:val="7"/>
  </w:num>
  <w:num w:numId="4" w16cid:durableId="1571116398">
    <w:abstractNumId w:val="5"/>
  </w:num>
  <w:num w:numId="5" w16cid:durableId="1390304887">
    <w:abstractNumId w:val="10"/>
  </w:num>
  <w:num w:numId="6" w16cid:durableId="1212881827">
    <w:abstractNumId w:val="2"/>
  </w:num>
  <w:num w:numId="7" w16cid:durableId="1720393342">
    <w:abstractNumId w:val="4"/>
  </w:num>
  <w:num w:numId="8" w16cid:durableId="238830741">
    <w:abstractNumId w:val="6"/>
  </w:num>
  <w:num w:numId="9" w16cid:durableId="2082363190">
    <w:abstractNumId w:val="8"/>
  </w:num>
  <w:num w:numId="10" w16cid:durableId="785198337">
    <w:abstractNumId w:val="1"/>
  </w:num>
  <w:num w:numId="11" w16cid:durableId="3415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2"/>
    <w:rsid w:val="00031C40"/>
    <w:rsid w:val="000662BF"/>
    <w:rsid w:val="00090479"/>
    <w:rsid w:val="00091EB3"/>
    <w:rsid w:val="00097697"/>
    <w:rsid w:val="000B7B2E"/>
    <w:rsid w:val="000C1F51"/>
    <w:rsid w:val="0015631E"/>
    <w:rsid w:val="00175A38"/>
    <w:rsid w:val="001A31D6"/>
    <w:rsid w:val="001A6E95"/>
    <w:rsid w:val="001A6FEC"/>
    <w:rsid w:val="00274C64"/>
    <w:rsid w:val="00312113"/>
    <w:rsid w:val="0033036C"/>
    <w:rsid w:val="003670D4"/>
    <w:rsid w:val="00394281"/>
    <w:rsid w:val="003B13B6"/>
    <w:rsid w:val="003E0FDD"/>
    <w:rsid w:val="00436E0C"/>
    <w:rsid w:val="004579C1"/>
    <w:rsid w:val="00482162"/>
    <w:rsid w:val="00496798"/>
    <w:rsid w:val="00496B6C"/>
    <w:rsid w:val="004B0441"/>
    <w:rsid w:val="004B0EBB"/>
    <w:rsid w:val="004E379C"/>
    <w:rsid w:val="004F18E4"/>
    <w:rsid w:val="005053B6"/>
    <w:rsid w:val="005A4BAD"/>
    <w:rsid w:val="005C4E9E"/>
    <w:rsid w:val="0067117A"/>
    <w:rsid w:val="0067676E"/>
    <w:rsid w:val="006D055E"/>
    <w:rsid w:val="006F26AD"/>
    <w:rsid w:val="00703A4E"/>
    <w:rsid w:val="00717A72"/>
    <w:rsid w:val="007209C0"/>
    <w:rsid w:val="00733379"/>
    <w:rsid w:val="0074754D"/>
    <w:rsid w:val="00764102"/>
    <w:rsid w:val="00764DF5"/>
    <w:rsid w:val="007656EA"/>
    <w:rsid w:val="007D03C8"/>
    <w:rsid w:val="008011DE"/>
    <w:rsid w:val="00841DC1"/>
    <w:rsid w:val="00853880"/>
    <w:rsid w:val="00892869"/>
    <w:rsid w:val="008C2882"/>
    <w:rsid w:val="008C2F79"/>
    <w:rsid w:val="009C1CBC"/>
    <w:rsid w:val="00A04E6A"/>
    <w:rsid w:val="00A05FB1"/>
    <w:rsid w:val="00A50305"/>
    <w:rsid w:val="00A631A3"/>
    <w:rsid w:val="00A83061"/>
    <w:rsid w:val="00AA3572"/>
    <w:rsid w:val="00AC30A8"/>
    <w:rsid w:val="00AD25FB"/>
    <w:rsid w:val="00B05401"/>
    <w:rsid w:val="00BE6194"/>
    <w:rsid w:val="00BF2665"/>
    <w:rsid w:val="00C21ED0"/>
    <w:rsid w:val="00C43B10"/>
    <w:rsid w:val="00C4407A"/>
    <w:rsid w:val="00CD0950"/>
    <w:rsid w:val="00D07F19"/>
    <w:rsid w:val="00D75C3F"/>
    <w:rsid w:val="00D80084"/>
    <w:rsid w:val="00DA4C4F"/>
    <w:rsid w:val="00DC54C3"/>
    <w:rsid w:val="00DE53D2"/>
    <w:rsid w:val="00E27ABB"/>
    <w:rsid w:val="00E456C2"/>
    <w:rsid w:val="00E56785"/>
    <w:rsid w:val="00E62322"/>
    <w:rsid w:val="00EB17F8"/>
    <w:rsid w:val="00EC16F4"/>
    <w:rsid w:val="00F357CC"/>
    <w:rsid w:val="00F604C6"/>
    <w:rsid w:val="00FB51FA"/>
    <w:rsid w:val="00FE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71909"/>
  <w15:chartTrackingRefBased/>
  <w15:docId w15:val="{4EEA22D2-DB2C-E040-A18B-D03569B6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5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35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35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5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5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5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5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5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5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35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35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5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5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572"/>
    <w:rPr>
      <w:rFonts w:eastAsiaTheme="majorEastAsia" w:cstheme="majorBidi"/>
      <w:color w:val="272727" w:themeColor="text1" w:themeTint="D8"/>
    </w:rPr>
  </w:style>
  <w:style w:type="paragraph" w:styleId="Title">
    <w:name w:val="Title"/>
    <w:basedOn w:val="Normal"/>
    <w:next w:val="Normal"/>
    <w:link w:val="TitleChar"/>
    <w:uiPriority w:val="10"/>
    <w:qFormat/>
    <w:rsid w:val="00AA3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5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572"/>
    <w:pPr>
      <w:spacing w:before="160"/>
      <w:jc w:val="center"/>
    </w:pPr>
    <w:rPr>
      <w:i/>
      <w:iCs/>
      <w:color w:val="404040" w:themeColor="text1" w:themeTint="BF"/>
    </w:rPr>
  </w:style>
  <w:style w:type="character" w:customStyle="1" w:styleId="QuoteChar">
    <w:name w:val="Quote Char"/>
    <w:basedOn w:val="DefaultParagraphFont"/>
    <w:link w:val="Quote"/>
    <w:uiPriority w:val="29"/>
    <w:rsid w:val="00AA3572"/>
    <w:rPr>
      <w:i/>
      <w:iCs/>
      <w:color w:val="404040" w:themeColor="text1" w:themeTint="BF"/>
    </w:rPr>
  </w:style>
  <w:style w:type="paragraph" w:styleId="ListParagraph">
    <w:name w:val="List Paragraph"/>
    <w:basedOn w:val="Normal"/>
    <w:uiPriority w:val="34"/>
    <w:qFormat/>
    <w:rsid w:val="00AA3572"/>
    <w:pPr>
      <w:ind w:left="720"/>
      <w:contextualSpacing/>
    </w:pPr>
  </w:style>
  <w:style w:type="character" w:styleId="IntenseEmphasis">
    <w:name w:val="Intense Emphasis"/>
    <w:basedOn w:val="DefaultParagraphFont"/>
    <w:uiPriority w:val="21"/>
    <w:qFormat/>
    <w:rsid w:val="00AA3572"/>
    <w:rPr>
      <w:i/>
      <w:iCs/>
      <w:color w:val="0F4761" w:themeColor="accent1" w:themeShade="BF"/>
    </w:rPr>
  </w:style>
  <w:style w:type="paragraph" w:styleId="IntenseQuote">
    <w:name w:val="Intense Quote"/>
    <w:basedOn w:val="Normal"/>
    <w:next w:val="Normal"/>
    <w:link w:val="IntenseQuoteChar"/>
    <w:uiPriority w:val="30"/>
    <w:qFormat/>
    <w:rsid w:val="00AA35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572"/>
    <w:rPr>
      <w:i/>
      <w:iCs/>
      <w:color w:val="0F4761" w:themeColor="accent1" w:themeShade="BF"/>
    </w:rPr>
  </w:style>
  <w:style w:type="character" w:styleId="IntenseReference">
    <w:name w:val="Intense Reference"/>
    <w:basedOn w:val="DefaultParagraphFont"/>
    <w:uiPriority w:val="32"/>
    <w:qFormat/>
    <w:rsid w:val="00AA3572"/>
    <w:rPr>
      <w:b/>
      <w:bCs/>
      <w:smallCaps/>
      <w:color w:val="0F4761" w:themeColor="accent1" w:themeShade="BF"/>
      <w:spacing w:val="5"/>
    </w:rPr>
  </w:style>
  <w:style w:type="paragraph" w:styleId="NormalWeb">
    <w:name w:val="Normal (Web)"/>
    <w:basedOn w:val="Normal"/>
    <w:uiPriority w:val="99"/>
    <w:unhideWhenUsed/>
    <w:rsid w:val="00764DF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elative">
    <w:name w:val="relative"/>
    <w:basedOn w:val="DefaultParagraphFont"/>
    <w:rsid w:val="00764DF5"/>
  </w:style>
  <w:style w:type="character" w:styleId="Strong">
    <w:name w:val="Strong"/>
    <w:basedOn w:val="DefaultParagraphFont"/>
    <w:uiPriority w:val="22"/>
    <w:qFormat/>
    <w:rsid w:val="00764DF5"/>
    <w:rPr>
      <w:b/>
      <w:bCs/>
    </w:rPr>
  </w:style>
  <w:style w:type="character" w:styleId="Hyperlink">
    <w:name w:val="Hyperlink"/>
    <w:basedOn w:val="DefaultParagraphFont"/>
    <w:uiPriority w:val="99"/>
    <w:unhideWhenUsed/>
    <w:rsid w:val="00764DF5"/>
    <w:rPr>
      <w:color w:val="0000FF"/>
      <w:u w:val="single"/>
    </w:rPr>
  </w:style>
  <w:style w:type="character" w:customStyle="1" w:styleId="apple-converted-space">
    <w:name w:val="apple-converted-space"/>
    <w:basedOn w:val="DefaultParagraphFont"/>
    <w:rsid w:val="00764DF5"/>
  </w:style>
  <w:style w:type="character" w:customStyle="1" w:styleId="ms-1">
    <w:name w:val="ms-1"/>
    <w:basedOn w:val="DefaultParagraphFont"/>
    <w:rsid w:val="00764DF5"/>
  </w:style>
  <w:style w:type="character" w:customStyle="1" w:styleId="max-w-full">
    <w:name w:val="max-w-full"/>
    <w:basedOn w:val="DefaultParagraphFont"/>
    <w:rsid w:val="00764DF5"/>
  </w:style>
  <w:style w:type="character" w:customStyle="1" w:styleId="-me-1">
    <w:name w:val="-me-1"/>
    <w:basedOn w:val="DefaultParagraphFont"/>
    <w:rsid w:val="00764DF5"/>
  </w:style>
  <w:style w:type="character" w:styleId="UnresolvedMention">
    <w:name w:val="Unresolved Mention"/>
    <w:basedOn w:val="DefaultParagraphFont"/>
    <w:uiPriority w:val="99"/>
    <w:semiHidden/>
    <w:unhideWhenUsed/>
    <w:rsid w:val="00394281"/>
    <w:rPr>
      <w:color w:val="605E5C"/>
      <w:shd w:val="clear" w:color="auto" w:fill="E1DFDD"/>
    </w:rPr>
  </w:style>
  <w:style w:type="character" w:styleId="FollowedHyperlink">
    <w:name w:val="FollowedHyperlink"/>
    <w:basedOn w:val="DefaultParagraphFont"/>
    <w:uiPriority w:val="99"/>
    <w:semiHidden/>
    <w:unhideWhenUsed/>
    <w:rsid w:val="00394281"/>
    <w:rPr>
      <w:color w:val="96607D" w:themeColor="followedHyperlink"/>
      <w:u w:val="single"/>
    </w:rPr>
  </w:style>
  <w:style w:type="character" w:styleId="Emphasis">
    <w:name w:val="Emphasis"/>
    <w:basedOn w:val="DefaultParagraphFont"/>
    <w:uiPriority w:val="20"/>
    <w:qFormat/>
    <w:rsid w:val="00703A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870235">
      <w:bodyDiv w:val="1"/>
      <w:marLeft w:val="0"/>
      <w:marRight w:val="0"/>
      <w:marTop w:val="0"/>
      <w:marBottom w:val="0"/>
      <w:divBdr>
        <w:top w:val="none" w:sz="0" w:space="0" w:color="auto"/>
        <w:left w:val="none" w:sz="0" w:space="0" w:color="auto"/>
        <w:bottom w:val="none" w:sz="0" w:space="0" w:color="auto"/>
        <w:right w:val="none" w:sz="0" w:space="0" w:color="auto"/>
      </w:divBdr>
    </w:div>
    <w:div w:id="278074937">
      <w:bodyDiv w:val="1"/>
      <w:marLeft w:val="0"/>
      <w:marRight w:val="0"/>
      <w:marTop w:val="0"/>
      <w:marBottom w:val="0"/>
      <w:divBdr>
        <w:top w:val="none" w:sz="0" w:space="0" w:color="auto"/>
        <w:left w:val="none" w:sz="0" w:space="0" w:color="auto"/>
        <w:bottom w:val="none" w:sz="0" w:space="0" w:color="auto"/>
        <w:right w:val="none" w:sz="0" w:space="0" w:color="auto"/>
      </w:divBdr>
    </w:div>
    <w:div w:id="360282478">
      <w:bodyDiv w:val="1"/>
      <w:marLeft w:val="0"/>
      <w:marRight w:val="0"/>
      <w:marTop w:val="0"/>
      <w:marBottom w:val="0"/>
      <w:divBdr>
        <w:top w:val="none" w:sz="0" w:space="0" w:color="auto"/>
        <w:left w:val="none" w:sz="0" w:space="0" w:color="auto"/>
        <w:bottom w:val="none" w:sz="0" w:space="0" w:color="auto"/>
        <w:right w:val="none" w:sz="0" w:space="0" w:color="auto"/>
      </w:divBdr>
    </w:div>
    <w:div w:id="572854200">
      <w:bodyDiv w:val="1"/>
      <w:marLeft w:val="0"/>
      <w:marRight w:val="0"/>
      <w:marTop w:val="0"/>
      <w:marBottom w:val="0"/>
      <w:divBdr>
        <w:top w:val="none" w:sz="0" w:space="0" w:color="auto"/>
        <w:left w:val="none" w:sz="0" w:space="0" w:color="auto"/>
        <w:bottom w:val="none" w:sz="0" w:space="0" w:color="auto"/>
        <w:right w:val="none" w:sz="0" w:space="0" w:color="auto"/>
      </w:divBdr>
    </w:div>
    <w:div w:id="1113551307">
      <w:bodyDiv w:val="1"/>
      <w:marLeft w:val="0"/>
      <w:marRight w:val="0"/>
      <w:marTop w:val="0"/>
      <w:marBottom w:val="0"/>
      <w:divBdr>
        <w:top w:val="none" w:sz="0" w:space="0" w:color="auto"/>
        <w:left w:val="none" w:sz="0" w:space="0" w:color="auto"/>
        <w:bottom w:val="none" w:sz="0" w:space="0" w:color="auto"/>
        <w:right w:val="none" w:sz="0" w:space="0" w:color="auto"/>
      </w:divBdr>
    </w:div>
    <w:div w:id="1172993224">
      <w:bodyDiv w:val="1"/>
      <w:marLeft w:val="0"/>
      <w:marRight w:val="0"/>
      <w:marTop w:val="0"/>
      <w:marBottom w:val="0"/>
      <w:divBdr>
        <w:top w:val="none" w:sz="0" w:space="0" w:color="auto"/>
        <w:left w:val="none" w:sz="0" w:space="0" w:color="auto"/>
        <w:bottom w:val="none" w:sz="0" w:space="0" w:color="auto"/>
        <w:right w:val="none" w:sz="0" w:space="0" w:color="auto"/>
      </w:divBdr>
    </w:div>
    <w:div w:id="1535118825">
      <w:bodyDiv w:val="1"/>
      <w:marLeft w:val="0"/>
      <w:marRight w:val="0"/>
      <w:marTop w:val="0"/>
      <w:marBottom w:val="0"/>
      <w:divBdr>
        <w:top w:val="none" w:sz="0" w:space="0" w:color="auto"/>
        <w:left w:val="none" w:sz="0" w:space="0" w:color="auto"/>
        <w:bottom w:val="none" w:sz="0" w:space="0" w:color="auto"/>
        <w:right w:val="none" w:sz="0" w:space="0" w:color="auto"/>
      </w:divBdr>
    </w:div>
    <w:div w:id="1596398451">
      <w:bodyDiv w:val="1"/>
      <w:marLeft w:val="0"/>
      <w:marRight w:val="0"/>
      <w:marTop w:val="0"/>
      <w:marBottom w:val="0"/>
      <w:divBdr>
        <w:top w:val="none" w:sz="0" w:space="0" w:color="auto"/>
        <w:left w:val="none" w:sz="0" w:space="0" w:color="auto"/>
        <w:bottom w:val="none" w:sz="0" w:space="0" w:color="auto"/>
        <w:right w:val="none" w:sz="0" w:space="0" w:color="auto"/>
      </w:divBdr>
    </w:div>
    <w:div w:id="2044936409">
      <w:bodyDiv w:val="1"/>
      <w:marLeft w:val="0"/>
      <w:marRight w:val="0"/>
      <w:marTop w:val="0"/>
      <w:marBottom w:val="0"/>
      <w:divBdr>
        <w:top w:val="none" w:sz="0" w:space="0" w:color="auto"/>
        <w:left w:val="none" w:sz="0" w:space="0" w:color="auto"/>
        <w:bottom w:val="none" w:sz="0" w:space="0" w:color="auto"/>
        <w:right w:val="none" w:sz="0" w:space="0" w:color="auto"/>
      </w:divBdr>
    </w:div>
    <w:div w:id="2073967944">
      <w:bodyDiv w:val="1"/>
      <w:marLeft w:val="0"/>
      <w:marRight w:val="0"/>
      <w:marTop w:val="0"/>
      <w:marBottom w:val="0"/>
      <w:divBdr>
        <w:top w:val="none" w:sz="0" w:space="0" w:color="auto"/>
        <w:left w:val="none" w:sz="0" w:space="0" w:color="auto"/>
        <w:bottom w:val="none" w:sz="0" w:space="0" w:color="auto"/>
        <w:right w:val="none" w:sz="0" w:space="0" w:color="auto"/>
      </w:divBdr>
    </w:div>
    <w:div w:id="208903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249/RRA713-1" TargetMode="External"/><Relationship Id="rId13" Type="http://schemas.openxmlformats.org/officeDocument/2006/relationships/hyperlink" Target="https://doi.org/10.1377/hlthaff.2021.01113" TargetMode="External"/><Relationship Id="rId18" Type="http://schemas.openxmlformats.org/officeDocument/2006/relationships/hyperlink" Target="https://www.iqvia.com/insights/the-iqvia-institute/reports/the-use-of-medicines-in-the-us-2022" TargetMode="External"/><Relationship Id="rId26" Type="http://schemas.openxmlformats.org/officeDocument/2006/relationships/hyperlink" Target="https://doi.org/10.1001/jama.2010.1696" TargetMode="External"/><Relationship Id="rId3" Type="http://schemas.openxmlformats.org/officeDocument/2006/relationships/settings" Target="settings.xml"/><Relationship Id="rId21" Type="http://schemas.openxmlformats.org/officeDocument/2006/relationships/hyperlink" Target="https://doi.org/10.7249/RRA713-1" TargetMode="External"/><Relationship Id="rId7" Type="http://schemas.openxmlformats.org/officeDocument/2006/relationships/hyperlink" Target="https://doi.org/10.1001/jama.2016.11237" TargetMode="External"/><Relationship Id="rId12" Type="http://schemas.openxmlformats.org/officeDocument/2006/relationships/hyperlink" Target="https://doi.org/10.1177/1073110519876042" TargetMode="External"/><Relationship Id="rId17" Type="http://schemas.openxmlformats.org/officeDocument/2006/relationships/hyperlink" Target="https://doi.org/10.1377/hlthaff.2018.05105" TargetMode="External"/><Relationship Id="rId25" Type="http://schemas.openxmlformats.org/officeDocument/2006/relationships/hyperlink" Target="https://www.cbo.gov/publication/57523" TargetMode="External"/><Relationship Id="rId2" Type="http://schemas.openxmlformats.org/officeDocument/2006/relationships/styles" Target="styles.xml"/><Relationship Id="rId16" Type="http://schemas.openxmlformats.org/officeDocument/2006/relationships/hyperlink" Target="https://doi.org/10.1377/hlthaff.2016.1630" TargetMode="External"/><Relationship Id="rId20" Type="http://schemas.openxmlformats.org/officeDocument/2006/relationships/hyperlink" Target="https://healthpolicy.usc.edu/research/the-flow-of-money-through-the-pharmaceutical-distribution-syste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ms.gov" TargetMode="External"/><Relationship Id="rId11" Type="http://schemas.openxmlformats.org/officeDocument/2006/relationships/hyperlink" Target="https://doi.org/10.1377/hlthaff.2018.0412" TargetMode="External"/><Relationship Id="rId24" Type="http://schemas.openxmlformats.org/officeDocument/2006/relationships/hyperlink" Target="https://data.cms.gov/" TargetMode="External"/><Relationship Id="rId5" Type="http://schemas.openxmlformats.org/officeDocument/2006/relationships/hyperlink" Target="https://data.cms.gov/summary-statistics-on-use-and-payments/medicare-medicaid-spending-by-drug/medicare-part-d-spending-by-drug?utm_source=chatgpt.com" TargetMode="External"/><Relationship Id="rId15" Type="http://schemas.openxmlformats.org/officeDocument/2006/relationships/hyperlink" Target="https://healthpolicy.usc.edu/wp-content/uploads/2017/06/USC_Flow-of-MoneyWhitePaper_Final_Spreads.pdf" TargetMode="External"/><Relationship Id="rId23" Type="http://schemas.openxmlformats.org/officeDocument/2006/relationships/hyperlink" Target="https://doi.org/10.1377/hlthaff.2018.0412" TargetMode="External"/><Relationship Id="rId28" Type="http://schemas.openxmlformats.org/officeDocument/2006/relationships/fontTable" Target="fontTable.xml"/><Relationship Id="rId10" Type="http://schemas.openxmlformats.org/officeDocument/2006/relationships/hyperlink" Target="https://doi.org/10.1056/NEJMp2210493" TargetMode="External"/><Relationship Id="rId19" Type="http://schemas.openxmlformats.org/officeDocument/2006/relationships/hyperlink" Target="https://healthpolicy.usc.edu" TargetMode="External"/><Relationship Id="rId4" Type="http://schemas.openxmlformats.org/officeDocument/2006/relationships/webSettings" Target="webSettings.xml"/><Relationship Id="rId9" Type="http://schemas.openxmlformats.org/officeDocument/2006/relationships/hyperlink" Target="https://doi.org/10.1001/jama.2020.0011" TargetMode="External"/><Relationship Id="rId14" Type="http://schemas.openxmlformats.org/officeDocument/2006/relationships/hyperlink" Target="https://www.kff.org/medicare/issue-brief/how-does-prescription-drug-spending-and-use-compare-across-large-employer-plans-medicare-part-d-and-medicaid/" TargetMode="External"/><Relationship Id="rId22" Type="http://schemas.openxmlformats.org/officeDocument/2006/relationships/hyperlink" Target="https://doi.org/10.1056/NEJMp2210493" TargetMode="External"/><Relationship Id="rId27" Type="http://schemas.openxmlformats.org/officeDocument/2006/relationships/hyperlink" Target="https://doi.org/10.7249/RRA71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3121</Words>
  <Characters>17791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Darious Brown</dc:creator>
  <cp:keywords/>
  <dc:description/>
  <cp:lastModifiedBy>Darious Brown</cp:lastModifiedBy>
  <cp:revision>2</cp:revision>
  <dcterms:created xsi:type="dcterms:W3CDTF">2025-06-30T02:37:00Z</dcterms:created>
  <dcterms:modified xsi:type="dcterms:W3CDTF">2025-06-30T02:37:00Z</dcterms:modified>
</cp:coreProperties>
</file>