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b/>
          <w:bCs/>
          <w:color w:val="595959"/>
          <w:sz w:val="22"/>
          <w:szCs w:val="22"/>
        </w:rPr>
        <w:t xml:space="preserve">BeTechified</w:t>
      </w:r>
    </w:p>
    <w:p>
      <w:pPr>
        <w:spacing w:after="100"/>
      </w:pPr>
      <w:r>
        <w:rPr>
          <w:color w:val="595959"/>
          <w:sz w:val="22"/>
          <w:szCs w:val="22"/>
        </w:rPr>
        <w:t xml:space="preserve">Advanced Class Project — Project 3</w:t>
      </w:r>
    </w:p>
    <w:p>
      <w:pPr>
        <w:spacing w:after="200" w:before="400"/>
      </w:pPr>
      <w:r>
        <w:rPr>
          <w:b/>
          <w:bCs/>
          <w:color w:val="1F3864"/>
          <w:sz w:val="44"/>
          <w:szCs w:val="44"/>
        </w:rPr>
        <w:t xml:space="preserve">Executive Report</w:t>
      </w:r>
    </w:p>
    <w:p>
      <w:pPr>
        <w:spacing w:after="100"/>
      </w:pPr>
      <w:r>
        <w:rPr>
          <w:color w:val="1F3864"/>
          <w:sz w:val="26"/>
          <w:szCs w:val="26"/>
        </w:rPr>
        <w:t xml:space="preserve">Educational Performance Data Analysis Using Student Interaction Metrics</w:t>
      </w:r>
    </w:p>
    <w:p>
      <w:pPr>
        <w:spacing w:after="100" w:before="600"/>
      </w:pPr>
      <w:r>
        <w:rPr>
          <w:sz w:val="22"/>
          <w:szCs w:val="22"/>
        </w:rPr>
        <w:t xml:space="preserve">Prepared for: School Leadership &amp; Academic Administration</w:t>
      </w:r>
    </w:p>
    <w:p>
      <w:pPr>
        <w:spacing w:after="100"/>
      </w:pPr>
      <w:r>
        <w:rPr>
          <w:sz w:val="22"/>
          <w:szCs w:val="22"/>
        </w:rPr>
        <w:t xml:space="preserve">Data Source: 478-student academic performance dataset (xAPI-Edu-Data)</w:t>
      </w:r>
    </w:p>
    <w:p>
      <w:pPr>
        <w:spacing w:after="100"/>
      </w:pPr>
      <w:r>
        <w:rPr>
          <w:sz w:val="22"/>
          <w:szCs w:val="22"/>
        </w:rPr>
        <w:t xml:space="preserve">Report Date: July 2026</w:t>
      </w:r>
    </w:p>
    <w:p>
      <w:r>
        <w:br w:type="page"/>
      </w:r>
    </w:p>
    <w:p>
      <w:pPr>
        <w:pStyle w:val="Heading1"/>
        <w:spacing w:after="200" w:before="400"/>
      </w:pPr>
      <w:r>
        <w:rPr>
          <w:b/>
          <w:bCs/>
          <w:color w:val="1F3864"/>
          <w:sz w:val="28"/>
          <w:szCs w:val="28"/>
        </w:rPr>
        <w:t xml:space="preserve">Executive Summary</w:t>
      </w:r>
    </w:p>
    <w:p>
      <w:pPr>
        <w:spacing w:after="160" w:line="300"/>
      </w:pPr>
      <w:r>
        <w:rPr>
          <w:sz w:val="22"/>
          <w:szCs w:val="22"/>
        </w:rPr>
        <w:t xml:space="preserve">This report covers 478 students. 29.7% perform at a High level, 44.1% at Medium, and 26.2% at Low. One factor stands above every other in this data: attendance.</w:t>
      </w:r>
    </w:p>
    <w:p>
      <w:pPr>
        <w:spacing w:after="160" w:line="300"/>
      </w:pPr>
      <w:r>
        <w:rPr>
          <w:sz w:val="22"/>
          <w:szCs w:val="22"/>
        </w:rPr>
        <w:t xml:space="preserve">Students with fewer than seven absence days are 22.6 times more likely to be High performers. Students with more than seven absence days are 15.9 times more likely to be Low performers. Of all Low performers, 91.2% have high absence. This is not a secondary factor. It is the central lever for improving results across the school.</w:t>
      </w:r>
    </w:p>
    <w:p>
      <w:pPr>
        <w:spacing w:after="160" w:line="300"/>
      </w:pPr>
      <w:r>
        <w:rPr>
          <w:sz w:val="22"/>
          <w:szCs w:val="22"/>
        </w:rPr>
        <w:t xml:space="preserve">Participation follows the same shape. High performers raise their hands, join discussions, and use learning resources far more than Low performers, and the gap in resource use is the widest of the three. Parent satisfaction tells the same story: 83.1% of parents of High performers are satisfied, against 34.4% for parents of Low performers.</w:t>
      </w:r>
    </w:p>
    <w:p>
      <w:pPr>
        <w:spacing w:after="160" w:line="300"/>
      </w:pPr>
      <w:r>
        <w:rPr>
          <w:sz w:val="22"/>
          <w:szCs w:val="22"/>
        </w:rPr>
        <w:t xml:space="preserve">Gender and nationality also show real differences, smaller than attendance but too large to ignore. Female students reach High performance at almost double the rate of male students. The data also gives us a named, identifiable at-risk group: 99 students combine high absence with poor parent satisfaction, and 73 of them are male.</w:t>
      </w:r>
    </w:p>
    <w:p>
      <w:pPr>
        <w:spacing w:after="160" w:line="300"/>
      </w:pPr>
      <w:r>
        <w:rPr>
          <w:sz w:val="22"/>
          <w:szCs w:val="22"/>
        </w:rPr>
        <w:t xml:space="preserve">Every recommendation in this report is built from these numbers. Where the data cannot answer a question fully, that gap is stated plainly, along with the exact data needed to close it.</w:t>
      </w:r>
    </w:p>
    <w:p>
      <w:pPr>
        <w:pStyle w:val="Heading1"/>
        <w:spacing w:after="200" w:before="400"/>
      </w:pPr>
      <w:r>
        <w:rPr>
          <w:b/>
          <w:bCs/>
          <w:color w:val="1F3864"/>
          <w:sz w:val="28"/>
          <w:szCs w:val="28"/>
        </w:rPr>
        <w:t xml:space="preserve">1. Overall Student Performance Levels</w:t>
      </w:r>
    </w:p>
    <w:p>
      <w:pPr>
        <w:spacing w:after="160" w:line="300"/>
      </w:pPr>
      <w:r>
        <w:rPr>
          <w:sz w:val="22"/>
          <w:szCs w:val="22"/>
        </w:rPr>
        <w:t xml:space="preserve">Business objective: Evaluate overall student performance levels (High, Medium, Low).</w:t>
      </w:r>
    </w:p>
    <w:p>
      <w:pPr>
        <w:spacing w:after="160" w:line="300"/>
      </w:pPr>
      <w:r>
        <w:rPr>
          <w:sz w:val="22"/>
          <w:szCs w:val="22"/>
        </w:rPr>
        <w:t xml:space="preserve">Business question: What is the distribution of student performance levels?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80"/>
              <w:left w:type="dxa" w:w="100"/>
              <w:bottom w:type="dxa" w:w="80"/>
              <w:right w:type="dxa" w:w="100"/>
            </w:tcMar>
          </w:tcPr>
          <w:p>
            <w:r>
              <w:rPr>
                <w:b/>
                <w:bCs/>
                <w:color w:val="FFFFFF"/>
                <w:sz w:val="20"/>
                <w:szCs w:val="20"/>
              </w:rPr>
              <w:t xml:space="preserve">Performance Level</w:t>
            </w:r>
          </w:p>
        </w:tc>
        <w:tc>
          <w:tcPr>
            <w:tcW w:type="dxa" w:w="3116"/>
            <w:shd w:fill="1F3864" w:val="clear"/>
            <w:tcMar>
              <w:top w:type="dxa" w:w="80"/>
              <w:left w:type="dxa" w:w="100"/>
              <w:bottom w:type="dxa" w:w="80"/>
              <w:right w:type="dxa" w:w="100"/>
            </w:tcMar>
          </w:tcPr>
          <w:p>
            <w:r>
              <w:rPr>
                <w:b/>
                <w:bCs/>
                <w:color w:val="FFFFFF"/>
                <w:sz w:val="20"/>
                <w:szCs w:val="20"/>
              </w:rPr>
              <w:t xml:space="preserve">Students</w:t>
            </w:r>
          </w:p>
        </w:tc>
        <w:tc>
          <w:tcPr>
            <w:tcW w:type="dxa" w:w="3116"/>
            <w:shd w:fill="1F3864" w:val="clear"/>
            <w:tcMar>
              <w:top w:type="dxa" w:w="80"/>
              <w:left w:type="dxa" w:w="100"/>
              <w:bottom w:type="dxa" w:w="80"/>
              <w:right w:type="dxa" w:w="100"/>
            </w:tcMar>
          </w:tcPr>
          <w:p>
            <w:r>
              <w:rPr>
                <w:b/>
                <w:bCs/>
                <w:color w:val="FFFFFF"/>
                <w:sz w:val="20"/>
                <w:szCs w:val="20"/>
              </w:rPr>
              <w:t xml:space="preserve">Share of Total</w:t>
            </w:r>
          </w:p>
        </w:tc>
      </w:tr>
      <w:tr>
        <w:tc>
          <w:tcPr>
            <w:tcW w:type="dxa" w:w="3116"/>
            <w:shd w:fill="F2F2F2" w:val="clear"/>
            <w:tcMar>
              <w:top w:type="dxa" w:w="80"/>
              <w:left w:type="dxa" w:w="100"/>
              <w:bottom w:type="dxa" w:w="80"/>
              <w:right w:type="dxa" w:w="100"/>
            </w:tcMar>
          </w:tcPr>
          <w:p>
            <w:r>
              <w:rPr>
                <w:sz w:val="20"/>
                <w:szCs w:val="20"/>
              </w:rPr>
              <w:t xml:space="preserve">High</w:t>
            </w:r>
          </w:p>
        </w:tc>
        <w:tc>
          <w:tcPr>
            <w:tcW w:type="dxa" w:w="3116"/>
            <w:shd w:fill="F2F2F2" w:val="clear"/>
            <w:tcMar>
              <w:top w:type="dxa" w:w="80"/>
              <w:left w:type="dxa" w:w="100"/>
              <w:bottom w:type="dxa" w:w="80"/>
              <w:right w:type="dxa" w:w="100"/>
            </w:tcMar>
          </w:tcPr>
          <w:p>
            <w:r>
              <w:rPr>
                <w:sz w:val="20"/>
                <w:szCs w:val="20"/>
              </w:rPr>
              <w:t xml:space="preserve">142</w:t>
            </w:r>
          </w:p>
        </w:tc>
        <w:tc>
          <w:tcPr>
            <w:tcW w:type="dxa" w:w="3116"/>
            <w:shd w:fill="F2F2F2" w:val="clear"/>
            <w:tcMar>
              <w:top w:type="dxa" w:w="80"/>
              <w:left w:type="dxa" w:w="100"/>
              <w:bottom w:type="dxa" w:w="80"/>
              <w:right w:type="dxa" w:w="100"/>
            </w:tcMar>
          </w:tcPr>
          <w:p>
            <w:r>
              <w:rPr>
                <w:sz w:val="20"/>
                <w:szCs w:val="20"/>
              </w:rPr>
              <w:t xml:space="preserve">29.71%</w:t>
            </w:r>
          </w:p>
        </w:tc>
      </w:tr>
      <w:tr>
        <w:tc>
          <w:tcPr>
            <w:tcW w:type="dxa" w:w="3116"/>
            <w:shd w:fill="FFFFFF" w:val="clear"/>
            <w:tcMar>
              <w:top w:type="dxa" w:w="80"/>
              <w:left w:type="dxa" w:w="100"/>
              <w:bottom w:type="dxa" w:w="80"/>
              <w:right w:type="dxa" w:w="100"/>
            </w:tcMar>
          </w:tcPr>
          <w:p>
            <w:r>
              <w:rPr>
                <w:sz w:val="20"/>
                <w:szCs w:val="20"/>
              </w:rPr>
              <w:t xml:space="preserve">Medium</w:t>
            </w:r>
          </w:p>
        </w:tc>
        <w:tc>
          <w:tcPr>
            <w:tcW w:type="dxa" w:w="3116"/>
            <w:shd w:fill="FFFFFF" w:val="clear"/>
            <w:tcMar>
              <w:top w:type="dxa" w:w="80"/>
              <w:left w:type="dxa" w:w="100"/>
              <w:bottom w:type="dxa" w:w="80"/>
              <w:right w:type="dxa" w:w="100"/>
            </w:tcMar>
          </w:tcPr>
          <w:p>
            <w:r>
              <w:rPr>
                <w:sz w:val="20"/>
                <w:szCs w:val="20"/>
              </w:rPr>
              <w:t xml:space="preserve">211</w:t>
            </w:r>
          </w:p>
        </w:tc>
        <w:tc>
          <w:tcPr>
            <w:tcW w:type="dxa" w:w="3116"/>
            <w:shd w:fill="FFFFFF" w:val="clear"/>
            <w:tcMar>
              <w:top w:type="dxa" w:w="80"/>
              <w:left w:type="dxa" w:w="100"/>
              <w:bottom w:type="dxa" w:w="80"/>
              <w:right w:type="dxa" w:w="100"/>
            </w:tcMar>
          </w:tcPr>
          <w:p>
            <w:r>
              <w:rPr>
                <w:sz w:val="20"/>
                <w:szCs w:val="20"/>
              </w:rPr>
              <w:t xml:space="preserve">44.14%</w:t>
            </w:r>
          </w:p>
        </w:tc>
      </w:tr>
      <w:tr>
        <w:tc>
          <w:tcPr>
            <w:tcW w:type="dxa" w:w="3116"/>
            <w:shd w:fill="F2F2F2" w:val="clear"/>
            <w:tcMar>
              <w:top w:type="dxa" w:w="80"/>
              <w:left w:type="dxa" w:w="100"/>
              <w:bottom w:type="dxa" w:w="80"/>
              <w:right w:type="dxa" w:w="100"/>
            </w:tcMar>
          </w:tcPr>
          <w:p>
            <w:r>
              <w:rPr>
                <w:sz w:val="20"/>
                <w:szCs w:val="20"/>
              </w:rPr>
              <w:t xml:space="preserve">Low</w:t>
            </w:r>
          </w:p>
        </w:tc>
        <w:tc>
          <w:tcPr>
            <w:tcW w:type="dxa" w:w="3116"/>
            <w:shd w:fill="F2F2F2" w:val="clear"/>
            <w:tcMar>
              <w:top w:type="dxa" w:w="80"/>
              <w:left w:type="dxa" w:w="100"/>
              <w:bottom w:type="dxa" w:w="80"/>
              <w:right w:type="dxa" w:w="100"/>
            </w:tcMar>
          </w:tcPr>
          <w:p>
            <w:r>
              <w:rPr>
                <w:sz w:val="20"/>
                <w:szCs w:val="20"/>
              </w:rPr>
              <w:t xml:space="preserve">125</w:t>
            </w:r>
          </w:p>
        </w:tc>
        <w:tc>
          <w:tcPr>
            <w:tcW w:type="dxa" w:w="3116"/>
            <w:shd w:fill="F2F2F2" w:val="clear"/>
            <w:tcMar>
              <w:top w:type="dxa" w:w="80"/>
              <w:left w:type="dxa" w:w="100"/>
              <w:bottom w:type="dxa" w:w="80"/>
              <w:right w:type="dxa" w:w="100"/>
            </w:tcMar>
          </w:tcPr>
          <w:p>
            <w:r>
              <w:rPr>
                <w:sz w:val="20"/>
                <w:szCs w:val="20"/>
              </w:rPr>
              <w:t xml:space="preserve">26.15%</w:t>
            </w:r>
          </w:p>
        </w:tc>
      </w:tr>
    </w:tbl>
    <w:p>
      <w:pPr>
        <w:spacing w:after="120"/>
      </w:pPr>
    </w:p>
    <w:p>
      <w:pPr>
        <w:spacing w:after="160" w:line="300"/>
      </w:pPr>
      <w:r>
        <w:rPr>
          <w:b/>
          <w:bCs/>
          <w:sz w:val="22"/>
          <w:szCs w:val="22"/>
        </w:rPr>
        <w:t xml:space="preserve">Finding: </w:t>
      </w:r>
      <w:r>
        <w:rPr>
          <w:sz w:val="22"/>
          <w:szCs w:val="22"/>
        </w:rPr>
        <w:t xml:space="preserve">Medium performers are the largest group in the school, almost half of all students. Low performers are more than a quarter of the school.</w:t>
      </w:r>
    </w:p>
    <w:p>
      <w:pPr>
        <w:spacing w:after="160" w:line="300"/>
      </w:pPr>
      <w:r>
        <w:rPr>
          <w:b/>
          <w:bCs/>
          <w:sz w:val="22"/>
          <w:szCs w:val="22"/>
        </w:rPr>
        <w:t xml:space="preserve">What it means: </w:t>
      </w:r>
      <w:r>
        <w:rPr>
          <w:sz w:val="22"/>
          <w:szCs w:val="22"/>
        </w:rPr>
        <w:t xml:space="preserve">The biggest opportunity by volume is not the Low group. It is the 211 Medium performers. Moving a portion of this group into High has more impact at scale than any other single move, because the group is largest.</w:t>
      </w:r>
    </w:p>
    <w:p>
      <w:pPr>
        <w:spacing w:after="160" w:line="300"/>
      </w:pPr>
      <w:r>
        <w:rPr>
          <w:b/>
          <w:bCs/>
          <w:sz w:val="22"/>
          <w:szCs w:val="22"/>
        </w:rPr>
        <w:t xml:space="preserve">Recommendation:</w:t>
      </w:r>
    </w:p>
    <w:p>
      <w:pPr>
        <w:pStyle w:val="ListParagraph"/>
        <w:numPr>
          <w:ilvl w:val="0"/>
          <w:numId w:val="1"/>
        </w:numPr>
        <w:spacing w:after="100" w:line="280"/>
      </w:pPr>
      <w:r>
        <w:rPr>
          <w:sz w:val="22"/>
          <w:szCs w:val="22"/>
        </w:rPr>
        <w:t xml:space="preserve">Run two intervention tracks, not one. A "Lift" track for Medium students close to the High threshold, focused on small, achievable participation gains. A "Rescue" track for Low performers, detailed in Section 8.</w:t>
      </w:r>
    </w:p>
    <w:p>
      <w:pPr>
        <w:pStyle w:val="ListParagraph"/>
        <w:numPr>
          <w:ilvl w:val="0"/>
          <w:numId w:val="1"/>
        </w:numPr>
        <w:spacing w:after="100" w:line="280"/>
      </w:pPr>
      <w:r>
        <w:rPr>
          <w:sz w:val="22"/>
          <w:szCs w:val="22"/>
        </w:rPr>
        <w:t xml:space="preserve">Set a school-wide target to shift 10% of Medium performers into High within one academic term, and track it on this dashboard every month.</w:t>
      </w:r>
    </w:p>
    <w:p>
      <w:pPr>
        <w:pStyle w:val="Heading1"/>
        <w:spacing w:after="200" w:before="400"/>
      </w:pPr>
      <w:r>
        <w:rPr>
          <w:b/>
          <w:bCs/>
          <w:color w:val="1F3864"/>
          <w:sz w:val="28"/>
          <w:szCs w:val="28"/>
        </w:rPr>
        <w:t xml:space="preserve">2. Participation and Performance</w:t>
      </w:r>
    </w:p>
    <w:p>
      <w:pPr>
        <w:spacing w:after="160" w:line="300"/>
      </w:pPr>
      <w:r>
        <w:rPr>
          <w:sz w:val="22"/>
          <w:szCs w:val="22"/>
        </w:rPr>
        <w:t xml:space="preserve">Business question: How do participation metrics (raised hands, discussions, resource visits) affect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80"/>
              <w:left w:type="dxa" w:w="100"/>
              <w:bottom w:type="dxa" w:w="80"/>
              <w:right w:type="dxa" w:w="100"/>
            </w:tcMar>
          </w:tcPr>
          <w:p>
            <w:r>
              <w:rPr>
                <w:b/>
                <w:bCs/>
                <w:color w:val="FFFFFF"/>
                <w:sz w:val="20"/>
                <w:szCs w:val="20"/>
              </w:rPr>
              <w:t xml:space="preserve">Class</w:t>
            </w:r>
          </w:p>
        </w:tc>
        <w:tc>
          <w:tcPr>
            <w:tcW w:type="dxa" w:w="2337"/>
            <w:shd w:fill="1F3864" w:val="clear"/>
            <w:tcMar>
              <w:top w:type="dxa" w:w="80"/>
              <w:left w:type="dxa" w:w="100"/>
              <w:bottom w:type="dxa" w:w="80"/>
              <w:right w:type="dxa" w:w="100"/>
            </w:tcMar>
          </w:tcPr>
          <w:p>
            <w:r>
              <w:rPr>
                <w:b/>
                <w:bCs/>
                <w:color w:val="FFFFFF"/>
                <w:sz w:val="20"/>
                <w:szCs w:val="20"/>
              </w:rPr>
              <w:t xml:space="preserve">Avg Discussion</w:t>
            </w:r>
          </w:p>
        </w:tc>
        <w:tc>
          <w:tcPr>
            <w:tcW w:type="dxa" w:w="2337"/>
            <w:shd w:fill="1F3864" w:val="clear"/>
            <w:tcMar>
              <w:top w:type="dxa" w:w="80"/>
              <w:left w:type="dxa" w:w="100"/>
              <w:bottom w:type="dxa" w:w="80"/>
              <w:right w:type="dxa" w:w="100"/>
            </w:tcMar>
          </w:tcPr>
          <w:p>
            <w:r>
              <w:rPr>
                <w:b/>
                <w:bCs/>
                <w:color w:val="FFFFFF"/>
                <w:sz w:val="20"/>
                <w:szCs w:val="20"/>
              </w:rPr>
              <w:t xml:space="preserve">Avg Raised Hands</w:t>
            </w:r>
          </w:p>
        </w:tc>
        <w:tc>
          <w:tcPr>
            <w:tcW w:type="dxa" w:w="2337"/>
            <w:shd w:fill="1F3864" w:val="clear"/>
            <w:tcMar>
              <w:top w:type="dxa" w:w="80"/>
              <w:left w:type="dxa" w:w="100"/>
              <w:bottom w:type="dxa" w:w="80"/>
              <w:right w:type="dxa" w:w="100"/>
            </w:tcMar>
          </w:tcPr>
          <w:p>
            <w:r>
              <w:rPr>
                <w:b/>
                <w:bCs/>
                <w:color w:val="FFFFFF"/>
                <w:sz w:val="20"/>
                <w:szCs w:val="20"/>
              </w:rPr>
              <w:t xml:space="preserve">Avg Visited Resources</w:t>
            </w:r>
          </w:p>
        </w:tc>
      </w:tr>
      <w:tr>
        <w:tc>
          <w:tcPr>
            <w:tcW w:type="dxa" w:w="2337"/>
            <w:shd w:fill="F2F2F2" w:val="clear"/>
            <w:tcMar>
              <w:top w:type="dxa" w:w="80"/>
              <w:left w:type="dxa" w:w="100"/>
              <w:bottom w:type="dxa" w:w="80"/>
              <w:right w:type="dxa" w:w="100"/>
            </w:tcMar>
          </w:tcPr>
          <w:p>
            <w:r>
              <w:rPr>
                <w:sz w:val="20"/>
                <w:szCs w:val="20"/>
              </w:rPr>
              <w:t xml:space="preserve">High</w:t>
            </w:r>
          </w:p>
        </w:tc>
        <w:tc>
          <w:tcPr>
            <w:tcW w:type="dxa" w:w="2337"/>
            <w:shd w:fill="F2F2F2" w:val="clear"/>
            <w:tcMar>
              <w:top w:type="dxa" w:w="80"/>
              <w:left w:type="dxa" w:w="100"/>
              <w:bottom w:type="dxa" w:w="80"/>
              <w:right w:type="dxa" w:w="100"/>
            </w:tcMar>
          </w:tcPr>
          <w:p>
            <w:r>
              <w:rPr>
                <w:sz w:val="20"/>
                <w:szCs w:val="20"/>
              </w:rPr>
              <w:t xml:space="preserve">53.66</w:t>
            </w:r>
          </w:p>
        </w:tc>
        <w:tc>
          <w:tcPr>
            <w:tcW w:type="dxa" w:w="2337"/>
            <w:shd w:fill="F2F2F2" w:val="clear"/>
            <w:tcMar>
              <w:top w:type="dxa" w:w="80"/>
              <w:left w:type="dxa" w:w="100"/>
              <w:bottom w:type="dxa" w:w="80"/>
              <w:right w:type="dxa" w:w="100"/>
            </w:tcMar>
          </w:tcPr>
          <w:p>
            <w:r>
              <w:rPr>
                <w:sz w:val="20"/>
                <w:szCs w:val="20"/>
              </w:rPr>
              <w:t xml:space="preserve">70.29</w:t>
            </w:r>
          </w:p>
        </w:tc>
        <w:tc>
          <w:tcPr>
            <w:tcW w:type="dxa" w:w="2337"/>
            <w:shd w:fill="F2F2F2" w:val="clear"/>
            <w:tcMar>
              <w:top w:type="dxa" w:w="80"/>
              <w:left w:type="dxa" w:w="100"/>
              <w:bottom w:type="dxa" w:w="80"/>
              <w:right w:type="dxa" w:w="100"/>
            </w:tcMar>
          </w:tcPr>
          <w:p>
            <w:r>
              <w:rPr>
                <w:sz w:val="20"/>
                <w:szCs w:val="20"/>
              </w:rPr>
              <w:t xml:space="preserve">78.75</w:t>
            </w:r>
          </w:p>
        </w:tc>
      </w:tr>
      <w:tr>
        <w:tc>
          <w:tcPr>
            <w:tcW w:type="dxa" w:w="2337"/>
            <w:shd w:fill="FFFFFF" w:val="clear"/>
            <w:tcMar>
              <w:top w:type="dxa" w:w="80"/>
              <w:left w:type="dxa" w:w="100"/>
              <w:bottom w:type="dxa" w:w="80"/>
              <w:right w:type="dxa" w:w="100"/>
            </w:tcMar>
          </w:tcPr>
          <w:p>
            <w:r>
              <w:rPr>
                <w:sz w:val="20"/>
                <w:szCs w:val="20"/>
              </w:rPr>
              <w:t xml:space="preserve">Medium</w:t>
            </w:r>
          </w:p>
        </w:tc>
        <w:tc>
          <w:tcPr>
            <w:tcW w:type="dxa" w:w="2337"/>
            <w:shd w:fill="FFFFFF" w:val="clear"/>
            <w:tcMar>
              <w:top w:type="dxa" w:w="80"/>
              <w:left w:type="dxa" w:w="100"/>
              <w:bottom w:type="dxa" w:w="80"/>
              <w:right w:type="dxa" w:w="100"/>
            </w:tcMar>
          </w:tcPr>
          <w:p>
            <w:r>
              <w:rPr>
                <w:sz w:val="20"/>
                <w:szCs w:val="20"/>
              </w:rPr>
              <w:t xml:space="preserve">43.79</w:t>
            </w:r>
          </w:p>
        </w:tc>
        <w:tc>
          <w:tcPr>
            <w:tcW w:type="dxa" w:w="2337"/>
            <w:shd w:fill="FFFFFF" w:val="clear"/>
            <w:tcMar>
              <w:top w:type="dxa" w:w="80"/>
              <w:left w:type="dxa" w:w="100"/>
              <w:bottom w:type="dxa" w:w="80"/>
              <w:right w:type="dxa" w:w="100"/>
            </w:tcMar>
          </w:tcPr>
          <w:p>
            <w:r>
              <w:rPr>
                <w:sz w:val="20"/>
                <w:szCs w:val="20"/>
              </w:rPr>
              <w:t xml:space="preserve">48.94</w:t>
            </w:r>
          </w:p>
        </w:tc>
        <w:tc>
          <w:tcPr>
            <w:tcW w:type="dxa" w:w="2337"/>
            <w:shd w:fill="FFFFFF" w:val="clear"/>
            <w:tcMar>
              <w:top w:type="dxa" w:w="80"/>
              <w:left w:type="dxa" w:w="100"/>
              <w:bottom w:type="dxa" w:w="80"/>
              <w:right w:type="dxa" w:w="100"/>
            </w:tcMar>
          </w:tcPr>
          <w:p>
            <w:r>
              <w:rPr>
                <w:sz w:val="20"/>
                <w:szCs w:val="20"/>
              </w:rPr>
              <w:t xml:space="preserve">60.64</w:t>
            </w:r>
          </w:p>
        </w:tc>
      </w:tr>
      <w:tr>
        <w:tc>
          <w:tcPr>
            <w:tcW w:type="dxa" w:w="2337"/>
            <w:shd w:fill="F2F2F2" w:val="clear"/>
            <w:tcMar>
              <w:top w:type="dxa" w:w="80"/>
              <w:left w:type="dxa" w:w="100"/>
              <w:bottom w:type="dxa" w:w="80"/>
              <w:right w:type="dxa" w:w="100"/>
            </w:tcMar>
          </w:tcPr>
          <w:p>
            <w:r>
              <w:rPr>
                <w:sz w:val="20"/>
                <w:szCs w:val="20"/>
              </w:rPr>
              <w:t xml:space="preserve">Low</w:t>
            </w:r>
          </w:p>
        </w:tc>
        <w:tc>
          <w:tcPr>
            <w:tcW w:type="dxa" w:w="2337"/>
            <w:shd w:fill="F2F2F2" w:val="clear"/>
            <w:tcMar>
              <w:top w:type="dxa" w:w="80"/>
              <w:left w:type="dxa" w:w="100"/>
              <w:bottom w:type="dxa" w:w="80"/>
              <w:right w:type="dxa" w:w="100"/>
            </w:tcMar>
          </w:tcPr>
          <w:p>
            <w:r>
              <w:rPr>
                <w:sz w:val="20"/>
                <w:szCs w:val="20"/>
              </w:rPr>
              <w:t xml:space="preserve">31.12</w:t>
            </w:r>
          </w:p>
        </w:tc>
        <w:tc>
          <w:tcPr>
            <w:tcW w:type="dxa" w:w="2337"/>
            <w:shd w:fill="F2F2F2" w:val="clear"/>
            <w:tcMar>
              <w:top w:type="dxa" w:w="80"/>
              <w:left w:type="dxa" w:w="100"/>
              <w:bottom w:type="dxa" w:w="80"/>
              <w:right w:type="dxa" w:w="100"/>
            </w:tcMar>
          </w:tcPr>
          <w:p>
            <w:r>
              <w:rPr>
                <w:sz w:val="20"/>
                <w:szCs w:val="20"/>
              </w:rPr>
              <w:t xml:space="preserve">16.84</w:t>
            </w:r>
          </w:p>
        </w:tc>
        <w:tc>
          <w:tcPr>
            <w:tcW w:type="dxa" w:w="2337"/>
            <w:shd w:fill="F2F2F2" w:val="clear"/>
            <w:tcMar>
              <w:top w:type="dxa" w:w="80"/>
              <w:left w:type="dxa" w:w="100"/>
              <w:bottom w:type="dxa" w:w="80"/>
              <w:right w:type="dxa" w:w="100"/>
            </w:tcMar>
          </w:tcPr>
          <w:p>
            <w:r>
              <w:rPr>
                <w:sz w:val="20"/>
                <w:szCs w:val="20"/>
              </w:rPr>
              <w:t xml:space="preserve">18.42</w:t>
            </w:r>
          </w:p>
        </w:tc>
      </w:tr>
    </w:tbl>
    <w:p>
      <w:pPr>
        <w:spacing w:after="120"/>
      </w:pPr>
    </w:p>
    <w:p>
      <w:pPr>
        <w:spacing w:after="160" w:line="300"/>
      </w:pPr>
      <w:r>
        <w:rPr>
          <w:b/>
          <w:bCs/>
          <w:sz w:val="22"/>
          <w:szCs w:val="22"/>
        </w:rPr>
        <w:t xml:space="preserve">Finding: </w:t>
      </w:r>
      <w:r>
        <w:rPr>
          <w:sz w:val="22"/>
          <w:szCs w:val="22"/>
        </w:rPr>
        <w:t xml:space="preserve">All three participation metrics drop as performance drops. Visited Resources falls the hardest, from 78.75 down to 18.42, a drop of over 75%. Raised Hands falls almost as sharply. Discussion has the smallest gap of the three, meaning it separates High from Low the least.</w:t>
      </w:r>
    </w:p>
    <w:p>
      <w:pPr>
        <w:spacing w:after="160" w:line="300"/>
      </w:pPr>
      <w:r>
        <w:rPr>
          <w:b/>
          <w:bCs/>
          <w:sz w:val="22"/>
          <w:szCs w:val="22"/>
        </w:rPr>
        <w:t xml:space="preserve">What it means: </w:t>
      </w:r>
      <w:r>
        <w:rPr>
          <w:sz w:val="22"/>
          <w:szCs w:val="22"/>
        </w:rPr>
        <w:t xml:space="preserve">Resource use is the strongest behavioral signal in this category. A student who stops visiting learning resources is showing the clearest early sign of falling into the Low group.</w:t>
      </w:r>
    </w:p>
    <w:p>
      <w:pPr>
        <w:spacing w:after="160" w:line="300"/>
      </w:pPr>
      <w:r>
        <w:rPr>
          <w:b/>
          <w:bCs/>
          <w:sz w:val="22"/>
          <w:szCs w:val="22"/>
        </w:rPr>
        <w:t xml:space="preserve">Recommendation:</w:t>
      </w:r>
    </w:p>
    <w:p>
      <w:pPr>
        <w:pStyle w:val="ListParagraph"/>
        <w:numPr>
          <w:ilvl w:val="0"/>
          <w:numId w:val="1"/>
        </w:numPr>
        <w:spacing w:after="100" w:line="280"/>
      </w:pPr>
      <w:r>
        <w:rPr>
          <w:sz w:val="22"/>
          <w:szCs w:val="22"/>
        </w:rPr>
        <w:t xml:space="preserve">Track resource visits weekly, not termly. A sudden drop should trigger a teacher check-in before grades confirm the decline.</w:t>
      </w:r>
    </w:p>
    <w:p>
      <w:pPr>
        <w:pStyle w:val="ListParagraph"/>
        <w:numPr>
          <w:ilvl w:val="0"/>
          <w:numId w:val="1"/>
        </w:numPr>
        <w:spacing w:after="100" w:line="280"/>
      </w:pPr>
      <w:r>
        <w:rPr>
          <w:sz w:val="22"/>
          <w:szCs w:val="22"/>
        </w:rPr>
        <w:t xml:space="preserve">Use Raised Hands as a live classroom signal. Teachers can act on this in real time, faster than any dashboard update.</w:t>
      </w:r>
    </w:p>
    <w:p>
      <w:pPr>
        <w:pStyle w:val="ListParagraph"/>
        <w:numPr>
          <w:ilvl w:val="0"/>
          <w:numId w:val="1"/>
        </w:numPr>
        <w:spacing w:after="100" w:line="280"/>
      </w:pPr>
      <w:r>
        <w:rPr>
          <w:sz w:val="22"/>
          <w:szCs w:val="22"/>
        </w:rPr>
        <w:t xml:space="preserve">Do not lead with discussion-based interventions alone. The data shows this metric moves the least between performance groups, so it should support other actions, not replace them.</w:t>
      </w:r>
    </w:p>
    <w:p>
      <w:pPr>
        <w:pStyle w:val="Heading1"/>
        <w:spacing w:after="200" w:before="400"/>
      </w:pPr>
      <w:r>
        <w:rPr>
          <w:b/>
          <w:bCs/>
          <w:color w:val="1F3864"/>
          <w:sz w:val="28"/>
          <w:szCs w:val="28"/>
        </w:rPr>
        <w:t xml:space="preserve">3. Gender and Nationality</w:t>
      </w:r>
    </w:p>
    <w:p>
      <w:pPr>
        <w:spacing w:after="160" w:line="300"/>
      </w:pPr>
      <w:r>
        <w:rPr>
          <w:sz w:val="22"/>
          <w:szCs w:val="22"/>
        </w:rPr>
        <w:t xml:space="preserve">Business question: Do gender or nationality influence student achievement?</w:t>
      </w:r>
    </w:p>
    <w:p>
      <w:pPr>
        <w:pStyle w:val="Heading2"/>
        <w:spacing w:after="140" w:before="280"/>
      </w:pPr>
      <w:r>
        <w:rPr>
          <w:b/>
          <w:bCs/>
          <w:color w:val="1F3864"/>
          <w:sz w:val="24"/>
          <w:szCs w:val="24"/>
        </w:rPr>
        <w:t xml:space="preserve">Gender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80"/>
              <w:left w:type="dxa" w:w="100"/>
              <w:bottom w:type="dxa" w:w="80"/>
              <w:right w:type="dxa" w:w="100"/>
            </w:tcMar>
          </w:tcPr>
          <w:p>
            <w:r>
              <w:rPr>
                <w:b/>
                <w:bCs/>
                <w:color w:val="FFFFFF"/>
                <w:sz w:val="20"/>
                <w:szCs w:val="20"/>
              </w:rPr>
              <w:t xml:space="preserve">Gender</w:t>
            </w:r>
          </w:p>
        </w:tc>
        <w:tc>
          <w:tcPr>
            <w:tcW w:type="dxa" w:w="4675"/>
            <w:shd w:fill="1F3864" w:val="clear"/>
            <w:tcMar>
              <w:top w:type="dxa" w:w="80"/>
              <w:left w:type="dxa" w:w="100"/>
              <w:bottom w:type="dxa" w:w="80"/>
              <w:right w:type="dxa" w:w="100"/>
            </w:tcMar>
          </w:tcPr>
          <w:p>
            <w:r>
              <w:rPr>
                <w:b/>
                <w:bCs/>
                <w:color w:val="FFFFFF"/>
                <w:sz w:val="20"/>
                <w:szCs w:val="20"/>
              </w:rPr>
              <w:t xml:space="preserve">% High Performers</w:t>
            </w:r>
          </w:p>
        </w:tc>
      </w:tr>
      <w:tr>
        <w:tc>
          <w:tcPr>
            <w:tcW w:type="dxa" w:w="4675"/>
            <w:shd w:fill="F2F2F2" w:val="clear"/>
            <w:tcMar>
              <w:top w:type="dxa" w:w="80"/>
              <w:left w:type="dxa" w:w="100"/>
              <w:bottom w:type="dxa" w:w="80"/>
              <w:right w:type="dxa" w:w="100"/>
            </w:tcMar>
          </w:tcPr>
          <w:p>
            <w:r>
              <w:rPr>
                <w:sz w:val="20"/>
                <w:szCs w:val="20"/>
              </w:rPr>
              <w:t xml:space="preserve">Female</w:t>
            </w:r>
          </w:p>
        </w:tc>
        <w:tc>
          <w:tcPr>
            <w:tcW w:type="dxa" w:w="4675"/>
            <w:shd w:fill="F2F2F2" w:val="clear"/>
            <w:tcMar>
              <w:top w:type="dxa" w:w="80"/>
              <w:left w:type="dxa" w:w="100"/>
              <w:bottom w:type="dxa" w:w="80"/>
              <w:right w:type="dxa" w:w="100"/>
            </w:tcMar>
          </w:tcPr>
          <w:p>
            <w:r>
              <w:rPr>
                <w:sz w:val="20"/>
                <w:szCs w:val="20"/>
              </w:rPr>
              <w:t xml:space="preserve">42.86%</w:t>
            </w:r>
          </w:p>
        </w:tc>
      </w:tr>
      <w:tr>
        <w:tc>
          <w:tcPr>
            <w:tcW w:type="dxa" w:w="4675"/>
            <w:shd w:fill="FFFFFF" w:val="clear"/>
            <w:tcMar>
              <w:top w:type="dxa" w:w="80"/>
              <w:left w:type="dxa" w:w="100"/>
              <w:bottom w:type="dxa" w:w="80"/>
              <w:right w:type="dxa" w:w="100"/>
            </w:tcMar>
          </w:tcPr>
          <w:p>
            <w:r>
              <w:rPr>
                <w:sz w:val="20"/>
                <w:szCs w:val="20"/>
              </w:rPr>
              <w:t xml:space="preserve">Male</w:t>
            </w:r>
          </w:p>
        </w:tc>
        <w:tc>
          <w:tcPr>
            <w:tcW w:type="dxa" w:w="4675"/>
            <w:shd w:fill="FFFFFF" w:val="clear"/>
            <w:tcMar>
              <w:top w:type="dxa" w:w="80"/>
              <w:left w:type="dxa" w:w="100"/>
              <w:bottom w:type="dxa" w:w="80"/>
              <w:right w:type="dxa" w:w="100"/>
            </w:tcMar>
          </w:tcPr>
          <w:p>
            <w:r>
              <w:rPr>
                <w:sz w:val="20"/>
                <w:szCs w:val="20"/>
              </w:rPr>
              <w:t xml:space="preserve">22.11%</w:t>
            </w:r>
          </w:p>
        </w:tc>
      </w:tr>
    </w:tbl>
    <w:p>
      <w:pPr>
        <w:spacing w:after="120"/>
      </w:pPr>
    </w:p>
    <w:p>
      <w:pPr>
        <w:spacing w:after="160" w:line="300"/>
      </w:pPr>
      <w:r>
        <w:rPr>
          <w:b/>
          <w:bCs/>
          <w:sz w:val="22"/>
          <w:szCs w:val="22"/>
        </w:rPr>
        <w:t xml:space="preserve">Finding: </w:t>
      </w:r>
      <w:r>
        <w:rPr>
          <w:sz w:val="22"/>
          <w:szCs w:val="22"/>
        </w:rPr>
        <w:t xml:space="preserve">Female students reach High performance at almost double the rate of male students.</w:t>
      </w:r>
    </w:p>
    <w:p>
      <w:pPr>
        <w:spacing w:after="160" w:line="300"/>
      </w:pPr>
      <w:r>
        <w:rPr>
          <w:b/>
          <w:bCs/>
          <w:sz w:val="22"/>
          <w:szCs w:val="22"/>
        </w:rPr>
        <w:t xml:space="preserve">What it means: </w:t>
      </w:r>
      <w:r>
        <w:rPr>
          <w:sz w:val="22"/>
          <w:szCs w:val="22"/>
        </w:rPr>
        <w:t xml:space="preserve">This gap is large enough to be a real pattern, not noise. The Key Influencer model, built separately in Section 7, confirms it: being male increases the odds of Low performance by 2.43 times, independent of attendance and satisfaction. This means gender is not just riding on top of other factors. It is contributing something on its own.</w:t>
      </w:r>
    </w:p>
    <w:p>
      <w:pPr>
        <w:spacing w:after="160" w:line="300"/>
      </w:pPr>
      <w:r>
        <w:rPr>
          <w:b/>
          <w:bCs/>
          <w:sz w:val="22"/>
          <w:szCs w:val="22"/>
        </w:rPr>
        <w:t xml:space="preserve">Recommendation:</w:t>
      </w:r>
    </w:p>
    <w:p>
      <w:pPr>
        <w:pStyle w:val="ListParagraph"/>
        <w:numPr>
          <w:ilvl w:val="0"/>
          <w:numId w:val="1"/>
        </w:numPr>
        <w:spacing w:after="100" w:line="280"/>
      </w:pPr>
      <w:r>
        <w:rPr>
          <w:sz w:val="22"/>
          <w:szCs w:val="22"/>
        </w:rPr>
        <w:t xml:space="preserve">Investigate the male underperformance gap directly. Cross-check male students' participation data specifically, since the current dashboard shows the outcome gap but not yet the behavioral cause behind it.</w:t>
      </w:r>
    </w:p>
    <w:p>
      <w:pPr>
        <w:pStyle w:val="ListParagraph"/>
        <w:numPr>
          <w:ilvl w:val="0"/>
          <w:numId w:val="1"/>
        </w:numPr>
        <w:spacing w:after="100" w:line="280"/>
      </w:pPr>
      <w:r>
        <w:rPr>
          <w:sz w:val="22"/>
          <w:szCs w:val="22"/>
        </w:rPr>
        <w:t xml:space="preserve">Pilot a targeted engagement strategy for male students in the Medium and Low groups before rolling out school-wide, and measure the result against this baseline.</w:t>
      </w:r>
    </w:p>
    <w:p>
      <w:pPr>
        <w:pStyle w:val="Heading2"/>
        <w:spacing w:after="140" w:before="280"/>
      </w:pPr>
      <w:r>
        <w:rPr>
          <w:b/>
          <w:bCs/>
          <w:color w:val="1F3864"/>
          <w:sz w:val="24"/>
          <w:szCs w:val="24"/>
        </w:rPr>
        <w:t xml:space="preserve">Nationality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80"/>
              <w:left w:type="dxa" w:w="100"/>
              <w:bottom w:type="dxa" w:w="80"/>
              <w:right w:type="dxa" w:w="100"/>
            </w:tcMar>
          </w:tcPr>
          <w:p>
            <w:r>
              <w:rPr>
                <w:b/>
                <w:bCs/>
                <w:color w:val="FFFFFF"/>
                <w:sz w:val="20"/>
                <w:szCs w:val="20"/>
              </w:rPr>
              <w:t xml:space="preserve">Nationality</w:t>
            </w:r>
          </w:p>
        </w:tc>
        <w:tc>
          <w:tcPr>
            <w:tcW w:type="dxa" w:w="4675"/>
            <w:shd w:fill="1F3864" w:val="clear"/>
            <w:tcMar>
              <w:top w:type="dxa" w:w="80"/>
              <w:left w:type="dxa" w:w="100"/>
              <w:bottom w:type="dxa" w:w="80"/>
              <w:right w:type="dxa" w:w="100"/>
            </w:tcMar>
          </w:tcPr>
          <w:p>
            <w:r>
              <w:rPr>
                <w:b/>
                <w:bCs/>
                <w:color w:val="FFFFFF"/>
                <w:sz w:val="20"/>
                <w:szCs w:val="20"/>
              </w:rPr>
              <w:t xml:space="preserve">% High Performers</w:t>
            </w:r>
          </w:p>
        </w:tc>
      </w:tr>
      <w:tr>
        <w:tc>
          <w:tcPr>
            <w:tcW w:type="dxa" w:w="4675"/>
            <w:shd w:fill="F2F2F2" w:val="clear"/>
            <w:tcMar>
              <w:top w:type="dxa" w:w="80"/>
              <w:left w:type="dxa" w:w="100"/>
              <w:bottom w:type="dxa" w:w="80"/>
              <w:right w:type="dxa" w:w="100"/>
            </w:tcMar>
          </w:tcPr>
          <w:p>
            <w:r>
              <w:rPr>
                <w:sz w:val="20"/>
                <w:szCs w:val="20"/>
              </w:rPr>
              <w:t xml:space="preserve">Iraq</w:t>
            </w:r>
          </w:p>
        </w:tc>
        <w:tc>
          <w:tcPr>
            <w:tcW w:type="dxa" w:w="4675"/>
            <w:shd w:fill="F2F2F2" w:val="clear"/>
            <w:tcMar>
              <w:top w:type="dxa" w:w="80"/>
              <w:left w:type="dxa" w:w="100"/>
              <w:bottom w:type="dxa" w:w="80"/>
              <w:right w:type="dxa" w:w="100"/>
            </w:tcMar>
          </w:tcPr>
          <w:p>
            <w:r>
              <w:rPr>
                <w:sz w:val="20"/>
                <w:szCs w:val="20"/>
              </w:rPr>
              <w:t xml:space="preserve">63.64%</w:t>
            </w:r>
          </w:p>
        </w:tc>
      </w:tr>
      <w:tr>
        <w:tc>
          <w:tcPr>
            <w:tcW w:type="dxa" w:w="4675"/>
            <w:shd w:fill="FFFFFF" w:val="clear"/>
            <w:tcMar>
              <w:top w:type="dxa" w:w="80"/>
              <w:left w:type="dxa" w:w="100"/>
              <w:bottom w:type="dxa" w:w="80"/>
              <w:right w:type="dxa" w:w="100"/>
            </w:tcMar>
          </w:tcPr>
          <w:p>
            <w:r>
              <w:rPr>
                <w:sz w:val="20"/>
                <w:szCs w:val="20"/>
              </w:rPr>
              <w:t xml:space="preserve">Saudi Arabia</w:t>
            </w:r>
          </w:p>
        </w:tc>
        <w:tc>
          <w:tcPr>
            <w:tcW w:type="dxa" w:w="4675"/>
            <w:shd w:fill="FFFFFF" w:val="clear"/>
            <w:tcMar>
              <w:top w:type="dxa" w:w="80"/>
              <w:left w:type="dxa" w:w="100"/>
              <w:bottom w:type="dxa" w:w="80"/>
              <w:right w:type="dxa" w:w="100"/>
            </w:tcMar>
          </w:tcPr>
          <w:p>
            <w:r>
              <w:rPr>
                <w:sz w:val="20"/>
                <w:szCs w:val="20"/>
              </w:rPr>
              <w:t xml:space="preserve">54.55%</w:t>
            </w:r>
          </w:p>
        </w:tc>
      </w:tr>
      <w:tr>
        <w:tc>
          <w:tcPr>
            <w:tcW w:type="dxa" w:w="4675"/>
            <w:shd w:fill="F2F2F2" w:val="clear"/>
            <w:tcMar>
              <w:top w:type="dxa" w:w="80"/>
              <w:left w:type="dxa" w:w="100"/>
              <w:bottom w:type="dxa" w:w="80"/>
              <w:right w:type="dxa" w:w="100"/>
            </w:tcMar>
          </w:tcPr>
          <w:p>
            <w:r>
              <w:rPr>
                <w:sz w:val="20"/>
                <w:szCs w:val="20"/>
              </w:rPr>
              <w:t xml:space="preserve">Lebanon</w:t>
            </w:r>
          </w:p>
        </w:tc>
        <w:tc>
          <w:tcPr>
            <w:tcW w:type="dxa" w:w="4675"/>
            <w:shd w:fill="F2F2F2" w:val="clear"/>
            <w:tcMar>
              <w:top w:type="dxa" w:w="80"/>
              <w:left w:type="dxa" w:w="100"/>
              <w:bottom w:type="dxa" w:w="80"/>
              <w:right w:type="dxa" w:w="100"/>
            </w:tcMar>
          </w:tcPr>
          <w:p>
            <w:r>
              <w:rPr>
                <w:sz w:val="20"/>
                <w:szCs w:val="20"/>
              </w:rPr>
              <w:t xml:space="preserve">52.94%</w:t>
            </w:r>
          </w:p>
        </w:tc>
      </w:tr>
      <w:tr>
        <w:tc>
          <w:tcPr>
            <w:tcW w:type="dxa" w:w="4675"/>
            <w:shd w:fill="FFFFFF" w:val="clear"/>
            <w:tcMar>
              <w:top w:type="dxa" w:w="80"/>
              <w:left w:type="dxa" w:w="100"/>
              <w:bottom w:type="dxa" w:w="80"/>
              <w:right w:type="dxa" w:w="100"/>
            </w:tcMar>
          </w:tcPr>
          <w:p>
            <w:r>
              <w:rPr>
                <w:sz w:val="20"/>
                <w:szCs w:val="20"/>
              </w:rPr>
              <w:t xml:space="preserve">USA</w:t>
            </w:r>
          </w:p>
        </w:tc>
        <w:tc>
          <w:tcPr>
            <w:tcW w:type="dxa" w:w="4675"/>
            <w:shd w:fill="FFFFFF" w:val="clear"/>
            <w:tcMar>
              <w:top w:type="dxa" w:w="80"/>
              <w:left w:type="dxa" w:w="100"/>
              <w:bottom w:type="dxa" w:w="80"/>
              <w:right w:type="dxa" w:w="100"/>
            </w:tcMar>
          </w:tcPr>
          <w:p>
            <w:r>
              <w:rPr>
                <w:sz w:val="20"/>
                <w:szCs w:val="20"/>
              </w:rPr>
              <w:t xml:space="preserve">50.00%</w:t>
            </w:r>
          </w:p>
        </w:tc>
      </w:tr>
      <w:tr>
        <w:tc>
          <w:tcPr>
            <w:tcW w:type="dxa" w:w="4675"/>
            <w:shd w:fill="F2F2F2" w:val="clear"/>
            <w:tcMar>
              <w:top w:type="dxa" w:w="80"/>
              <w:left w:type="dxa" w:w="100"/>
              <w:bottom w:type="dxa" w:w="80"/>
              <w:right w:type="dxa" w:w="100"/>
            </w:tcMar>
          </w:tcPr>
          <w:p>
            <w:r>
              <w:rPr>
                <w:sz w:val="20"/>
                <w:szCs w:val="20"/>
              </w:rPr>
              <w:t xml:space="preserve">Palestine</w:t>
            </w:r>
          </w:p>
        </w:tc>
        <w:tc>
          <w:tcPr>
            <w:tcW w:type="dxa" w:w="4675"/>
            <w:shd w:fill="F2F2F2" w:val="clear"/>
            <w:tcMar>
              <w:top w:type="dxa" w:w="80"/>
              <w:left w:type="dxa" w:w="100"/>
              <w:bottom w:type="dxa" w:w="80"/>
              <w:right w:type="dxa" w:w="100"/>
            </w:tcMar>
          </w:tcPr>
          <w:p>
            <w:r>
              <w:rPr>
                <w:sz w:val="20"/>
                <w:szCs w:val="20"/>
              </w:rPr>
              <w:t xml:space="preserve">42.86%</w:t>
            </w:r>
          </w:p>
        </w:tc>
      </w:tr>
      <w:tr>
        <w:tc>
          <w:tcPr>
            <w:tcW w:type="dxa" w:w="4675"/>
            <w:shd w:fill="FFFFFF" w:val="clear"/>
            <w:tcMar>
              <w:top w:type="dxa" w:w="80"/>
              <w:left w:type="dxa" w:w="100"/>
              <w:bottom w:type="dxa" w:w="80"/>
              <w:right w:type="dxa" w:w="100"/>
            </w:tcMar>
          </w:tcPr>
          <w:p>
            <w:r>
              <w:rPr>
                <w:sz w:val="20"/>
                <w:szCs w:val="20"/>
              </w:rPr>
              <w:t xml:space="preserve">Jordan</w:t>
            </w:r>
          </w:p>
        </w:tc>
        <w:tc>
          <w:tcPr>
            <w:tcW w:type="dxa" w:w="4675"/>
            <w:shd w:fill="FFFFFF" w:val="clear"/>
            <w:tcMar>
              <w:top w:type="dxa" w:w="80"/>
              <w:left w:type="dxa" w:w="100"/>
              <w:bottom w:type="dxa" w:w="80"/>
              <w:right w:type="dxa" w:w="100"/>
            </w:tcMar>
          </w:tcPr>
          <w:p>
            <w:r>
              <w:rPr>
                <w:sz w:val="20"/>
                <w:szCs w:val="20"/>
              </w:rPr>
              <w:t xml:space="preserve">31.18%</w:t>
            </w:r>
          </w:p>
        </w:tc>
      </w:tr>
      <w:tr>
        <w:tc>
          <w:tcPr>
            <w:tcW w:type="dxa" w:w="4675"/>
            <w:shd w:fill="F2F2F2" w:val="clear"/>
            <w:tcMar>
              <w:top w:type="dxa" w:w="80"/>
              <w:left w:type="dxa" w:w="100"/>
              <w:bottom w:type="dxa" w:w="80"/>
              <w:right w:type="dxa" w:w="100"/>
            </w:tcMar>
          </w:tcPr>
          <w:p>
            <w:r>
              <w:rPr>
                <w:sz w:val="20"/>
                <w:szCs w:val="20"/>
              </w:rPr>
              <w:t xml:space="preserve">Syria</w:t>
            </w:r>
          </w:p>
        </w:tc>
        <w:tc>
          <w:tcPr>
            <w:tcW w:type="dxa" w:w="4675"/>
            <w:shd w:fill="F2F2F2" w:val="clear"/>
            <w:tcMar>
              <w:top w:type="dxa" w:w="80"/>
              <w:left w:type="dxa" w:w="100"/>
              <w:bottom w:type="dxa" w:w="80"/>
              <w:right w:type="dxa" w:w="100"/>
            </w:tcMar>
          </w:tcPr>
          <w:p>
            <w:r>
              <w:rPr>
                <w:sz w:val="20"/>
                <w:szCs w:val="20"/>
              </w:rPr>
              <w:t xml:space="preserve">28.57%</w:t>
            </w:r>
          </w:p>
        </w:tc>
      </w:tr>
      <w:tr>
        <w:tc>
          <w:tcPr>
            <w:tcW w:type="dxa" w:w="4675"/>
            <w:shd w:fill="FFFFFF" w:val="clear"/>
            <w:tcMar>
              <w:top w:type="dxa" w:w="80"/>
              <w:left w:type="dxa" w:w="100"/>
              <w:bottom w:type="dxa" w:w="80"/>
              <w:right w:type="dxa" w:w="100"/>
            </w:tcMar>
          </w:tcPr>
          <w:p>
            <w:r>
              <w:rPr>
                <w:sz w:val="20"/>
                <w:szCs w:val="20"/>
              </w:rPr>
              <w:t xml:space="preserve">Tunisia</w:t>
            </w:r>
          </w:p>
        </w:tc>
        <w:tc>
          <w:tcPr>
            <w:tcW w:type="dxa" w:w="4675"/>
            <w:shd w:fill="FFFFFF" w:val="clear"/>
            <w:tcMar>
              <w:top w:type="dxa" w:w="80"/>
              <w:left w:type="dxa" w:w="100"/>
              <w:bottom w:type="dxa" w:w="80"/>
              <w:right w:type="dxa" w:w="100"/>
            </w:tcMar>
          </w:tcPr>
          <w:p>
            <w:r>
              <w:rPr>
                <w:sz w:val="20"/>
                <w:szCs w:val="20"/>
              </w:rPr>
              <w:t xml:space="preserve">25.00%</w:t>
            </w:r>
          </w:p>
        </w:tc>
      </w:tr>
      <w:tr>
        <w:tc>
          <w:tcPr>
            <w:tcW w:type="dxa" w:w="4675"/>
            <w:shd w:fill="F2F2F2" w:val="clear"/>
            <w:tcMar>
              <w:top w:type="dxa" w:w="80"/>
              <w:left w:type="dxa" w:w="100"/>
              <w:bottom w:type="dxa" w:w="80"/>
              <w:right w:type="dxa" w:w="100"/>
            </w:tcMar>
          </w:tcPr>
          <w:p>
            <w:r>
              <w:rPr>
                <w:sz w:val="20"/>
                <w:szCs w:val="20"/>
              </w:rPr>
              <w:t xml:space="preserve">Egypt</w:t>
            </w:r>
          </w:p>
        </w:tc>
        <w:tc>
          <w:tcPr>
            <w:tcW w:type="dxa" w:w="4675"/>
            <w:shd w:fill="F2F2F2" w:val="clear"/>
            <w:tcMar>
              <w:top w:type="dxa" w:w="80"/>
              <w:left w:type="dxa" w:w="100"/>
              <w:bottom w:type="dxa" w:w="80"/>
              <w:right w:type="dxa" w:w="100"/>
            </w:tcMar>
          </w:tcPr>
          <w:p>
            <w:r>
              <w:rPr>
                <w:sz w:val="20"/>
                <w:szCs w:val="20"/>
              </w:rPr>
              <w:t xml:space="preserve">22.22%</w:t>
            </w:r>
          </w:p>
        </w:tc>
      </w:tr>
      <w:tr>
        <w:tc>
          <w:tcPr>
            <w:tcW w:type="dxa" w:w="4675"/>
            <w:shd w:fill="FFFFFF" w:val="clear"/>
            <w:tcMar>
              <w:top w:type="dxa" w:w="80"/>
              <w:left w:type="dxa" w:w="100"/>
              <w:bottom w:type="dxa" w:w="80"/>
              <w:right w:type="dxa" w:w="100"/>
            </w:tcMar>
          </w:tcPr>
          <w:p>
            <w:r>
              <w:rPr>
                <w:sz w:val="20"/>
                <w:szCs w:val="20"/>
              </w:rPr>
              <w:t xml:space="preserve">Kuwait</w:t>
            </w:r>
          </w:p>
        </w:tc>
        <w:tc>
          <w:tcPr>
            <w:tcW w:type="dxa" w:w="4675"/>
            <w:shd w:fill="FFFFFF" w:val="clear"/>
            <w:tcMar>
              <w:top w:type="dxa" w:w="80"/>
              <w:left w:type="dxa" w:w="100"/>
              <w:bottom w:type="dxa" w:w="80"/>
              <w:right w:type="dxa" w:w="100"/>
            </w:tcMar>
          </w:tcPr>
          <w:p>
            <w:r>
              <w:rPr>
                <w:sz w:val="20"/>
                <w:szCs w:val="20"/>
              </w:rPr>
              <w:t xml:space="preserve">20.11%</w:t>
            </w:r>
          </w:p>
        </w:tc>
      </w:tr>
    </w:tbl>
    <w:p>
      <w:pPr>
        <w:spacing w:after="120"/>
      </w:pPr>
    </w:p>
    <w:p>
      <w:pPr>
        <w:spacing w:after="160" w:line="300"/>
      </w:pPr>
      <w:r>
        <w:rPr>
          <w:b/>
          <w:bCs/>
          <w:sz w:val="22"/>
          <w:szCs w:val="22"/>
        </w:rPr>
        <w:t xml:space="preserve">Finding: </w:t>
      </w:r>
      <w:r>
        <w:rPr>
          <w:sz w:val="22"/>
          <w:szCs w:val="22"/>
        </w:rPr>
        <w:t xml:space="preserve">Performance ranges widely by nationality, from 63.64% down to 20.11%. Groups with fewer than 5 students were already removed from this view to avoid misleading percentages from tiny samples.</w:t>
      </w:r>
    </w:p>
    <w:p>
      <w:pPr>
        <w:spacing w:after="160" w:line="300"/>
      </w:pPr>
      <w:r>
        <w:rPr>
          <w:b/>
          <w:bCs/>
          <w:sz w:val="22"/>
          <w:szCs w:val="22"/>
        </w:rPr>
        <w:t xml:space="preserve">What it means: </w:t>
      </w:r>
      <w:r>
        <w:rPr>
          <w:sz w:val="22"/>
          <w:szCs w:val="22"/>
        </w:rPr>
        <w:t xml:space="preserve">Nationality itself is not something a school can act on. It likely stands in for something else, such as language support needs, family routines, or transition adjustment for newer arrivals. Treating this as a direct lever would be a mistake.</w:t>
      </w:r>
    </w:p>
    <w:p>
      <w:pPr>
        <w:spacing w:after="160" w:line="300"/>
      </w:pPr>
      <w:r>
        <w:rPr>
          <w:b/>
          <w:bCs/>
          <w:sz w:val="22"/>
          <w:szCs w:val="22"/>
        </w:rPr>
        <w:t xml:space="preserve">Recommendation:</w:t>
      </w:r>
    </w:p>
    <w:p>
      <w:pPr>
        <w:pStyle w:val="ListParagraph"/>
        <w:numPr>
          <w:ilvl w:val="0"/>
          <w:numId w:val="1"/>
        </w:numPr>
        <w:spacing w:after="100" w:line="280"/>
      </w:pPr>
      <w:r>
        <w:rPr>
          <w:sz w:val="22"/>
          <w:szCs w:val="22"/>
        </w:rPr>
        <w:t xml:space="preserve">Do not build policy around nationality directly. Use it as a monitoring flag only.</w:t>
      </w:r>
    </w:p>
    <w:p>
      <w:pPr>
        <w:pStyle w:val="ListParagraph"/>
        <w:numPr>
          <w:ilvl w:val="0"/>
          <w:numId w:val="1"/>
        </w:numPr>
        <w:spacing w:after="100" w:line="280"/>
      </w:pPr>
      <w:r>
        <w:rPr>
          <w:sz w:val="22"/>
          <w:szCs w:val="22"/>
        </w:rPr>
        <w:t xml:space="preserve">For the lowest-scoring groups (Kuwait, Egypt, Tunisia), check whether language support or new-student integration programs already exist, and whether uptake is low. That is the real, actionable question hiding behind this number.</w:t>
      </w:r>
    </w:p>
    <w:p>
      <w:pPr>
        <w:pStyle w:val="Heading1"/>
        <w:spacing w:after="200" w:before="400"/>
      </w:pPr>
      <w:r>
        <w:rPr>
          <w:b/>
          <w:bCs/>
          <w:color w:val="1F3864"/>
          <w:sz w:val="28"/>
          <w:szCs w:val="28"/>
        </w:rPr>
        <w:t xml:space="preserve">4. Attendance and Performance</w:t>
      </w:r>
    </w:p>
    <w:p>
      <w:pPr>
        <w:spacing w:after="160" w:line="300"/>
      </w:pPr>
      <w:r>
        <w:rPr>
          <w:sz w:val="22"/>
          <w:szCs w:val="22"/>
        </w:rPr>
        <w:t xml:space="preserve">Business question: How does attendance (StudentAbsenceDays) relate to performance outcomes?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80"/>
              <w:left w:type="dxa" w:w="100"/>
              <w:bottom w:type="dxa" w:w="80"/>
              <w:right w:type="dxa" w:w="100"/>
            </w:tcMar>
          </w:tcPr>
          <w:p>
            <w:r>
              <w:rPr>
                <w:b/>
                <w:bCs/>
                <w:color w:val="FFFFFF"/>
                <w:sz w:val="20"/>
                <w:szCs w:val="20"/>
              </w:rPr>
              <w:t xml:space="preserve">Class</w:t>
            </w:r>
          </w:p>
        </w:tc>
        <w:tc>
          <w:tcPr>
            <w:tcW w:type="dxa" w:w="3116"/>
            <w:shd w:fill="1F3864" w:val="clear"/>
            <w:tcMar>
              <w:top w:type="dxa" w:w="80"/>
              <w:left w:type="dxa" w:w="100"/>
              <w:bottom w:type="dxa" w:w="80"/>
              <w:right w:type="dxa" w:w="100"/>
            </w:tcMar>
          </w:tcPr>
          <w:p>
            <w:r>
              <w:rPr>
                <w:b/>
                <w:bCs/>
                <w:color w:val="FFFFFF"/>
                <w:sz w:val="20"/>
                <w:szCs w:val="20"/>
              </w:rPr>
              <w:t xml:space="preserve">Under-7 Absence Days</w:t>
            </w:r>
          </w:p>
        </w:tc>
        <w:tc>
          <w:tcPr>
            <w:tcW w:type="dxa" w:w="3116"/>
            <w:shd w:fill="1F3864" w:val="clear"/>
            <w:tcMar>
              <w:top w:type="dxa" w:w="80"/>
              <w:left w:type="dxa" w:w="100"/>
              <w:bottom w:type="dxa" w:w="80"/>
              <w:right w:type="dxa" w:w="100"/>
            </w:tcMar>
          </w:tcPr>
          <w:p>
            <w:r>
              <w:rPr>
                <w:b/>
                <w:bCs/>
                <w:color w:val="FFFFFF"/>
                <w:sz w:val="20"/>
                <w:szCs w:val="20"/>
              </w:rPr>
              <w:t xml:space="preserve">Above-7 Absence Days</w:t>
            </w:r>
          </w:p>
        </w:tc>
      </w:tr>
      <w:tr>
        <w:tc>
          <w:tcPr>
            <w:tcW w:type="dxa" w:w="3116"/>
            <w:shd w:fill="F2F2F2" w:val="clear"/>
            <w:tcMar>
              <w:top w:type="dxa" w:w="80"/>
              <w:left w:type="dxa" w:w="100"/>
              <w:bottom w:type="dxa" w:w="80"/>
              <w:right w:type="dxa" w:w="100"/>
            </w:tcMar>
          </w:tcPr>
          <w:p>
            <w:r>
              <w:rPr>
                <w:sz w:val="20"/>
                <w:szCs w:val="20"/>
              </w:rPr>
              <w:t xml:space="preserve">High</w:t>
            </w:r>
          </w:p>
        </w:tc>
        <w:tc>
          <w:tcPr>
            <w:tcW w:type="dxa" w:w="3116"/>
            <w:shd w:fill="F2F2F2" w:val="clear"/>
            <w:tcMar>
              <w:top w:type="dxa" w:w="80"/>
              <w:left w:type="dxa" w:w="100"/>
              <w:bottom w:type="dxa" w:w="80"/>
              <w:right w:type="dxa" w:w="100"/>
            </w:tcMar>
          </w:tcPr>
          <w:p>
            <w:r>
              <w:rPr>
                <w:sz w:val="20"/>
                <w:szCs w:val="20"/>
              </w:rPr>
              <w:t xml:space="preserve">138</w:t>
            </w:r>
          </w:p>
        </w:tc>
        <w:tc>
          <w:tcPr>
            <w:tcW w:type="dxa" w:w="3116"/>
            <w:shd w:fill="F2F2F2" w:val="clear"/>
            <w:tcMar>
              <w:top w:type="dxa" w:w="80"/>
              <w:left w:type="dxa" w:w="100"/>
              <w:bottom w:type="dxa" w:w="80"/>
              <w:right w:type="dxa" w:w="100"/>
            </w:tcMar>
          </w:tcPr>
          <w:p>
            <w:r>
              <w:rPr>
                <w:sz w:val="20"/>
                <w:szCs w:val="20"/>
              </w:rPr>
              <w:t xml:space="preserve">4</w:t>
            </w:r>
          </w:p>
        </w:tc>
      </w:tr>
      <w:tr>
        <w:tc>
          <w:tcPr>
            <w:tcW w:type="dxa" w:w="3116"/>
            <w:shd w:fill="FFFFFF" w:val="clear"/>
            <w:tcMar>
              <w:top w:type="dxa" w:w="80"/>
              <w:left w:type="dxa" w:w="100"/>
              <w:bottom w:type="dxa" w:w="80"/>
              <w:right w:type="dxa" w:w="100"/>
            </w:tcMar>
          </w:tcPr>
          <w:p>
            <w:r>
              <w:rPr>
                <w:sz w:val="20"/>
                <w:szCs w:val="20"/>
              </w:rPr>
              <w:t xml:space="preserve">Medium</w:t>
            </w:r>
          </w:p>
        </w:tc>
        <w:tc>
          <w:tcPr>
            <w:tcW w:type="dxa" w:w="3116"/>
            <w:shd w:fill="FFFFFF" w:val="clear"/>
            <w:tcMar>
              <w:top w:type="dxa" w:w="80"/>
              <w:left w:type="dxa" w:w="100"/>
              <w:bottom w:type="dxa" w:w="80"/>
              <w:right w:type="dxa" w:w="100"/>
            </w:tcMar>
          </w:tcPr>
          <w:p>
            <w:r>
              <w:rPr>
                <w:sz w:val="20"/>
                <w:szCs w:val="20"/>
              </w:rPr>
              <w:t xml:space="preserve">140</w:t>
            </w:r>
          </w:p>
        </w:tc>
        <w:tc>
          <w:tcPr>
            <w:tcW w:type="dxa" w:w="3116"/>
            <w:shd w:fill="FFFFFF" w:val="clear"/>
            <w:tcMar>
              <w:top w:type="dxa" w:w="80"/>
              <w:left w:type="dxa" w:w="100"/>
              <w:bottom w:type="dxa" w:w="80"/>
              <w:right w:type="dxa" w:w="100"/>
            </w:tcMar>
          </w:tcPr>
          <w:p>
            <w:r>
              <w:rPr>
                <w:sz w:val="20"/>
                <w:szCs w:val="20"/>
              </w:rPr>
              <w:t xml:space="preserve">71</w:t>
            </w:r>
          </w:p>
        </w:tc>
      </w:tr>
      <w:tr>
        <w:tc>
          <w:tcPr>
            <w:tcW w:type="dxa" w:w="3116"/>
            <w:shd w:fill="F2F2F2" w:val="clear"/>
            <w:tcMar>
              <w:top w:type="dxa" w:w="80"/>
              <w:left w:type="dxa" w:w="100"/>
              <w:bottom w:type="dxa" w:w="80"/>
              <w:right w:type="dxa" w:w="100"/>
            </w:tcMar>
          </w:tcPr>
          <w:p>
            <w:r>
              <w:rPr>
                <w:sz w:val="20"/>
                <w:szCs w:val="20"/>
              </w:rPr>
              <w:t xml:space="preserve">Low</w:t>
            </w:r>
          </w:p>
        </w:tc>
        <w:tc>
          <w:tcPr>
            <w:tcW w:type="dxa" w:w="3116"/>
            <w:shd w:fill="F2F2F2" w:val="clear"/>
            <w:tcMar>
              <w:top w:type="dxa" w:w="80"/>
              <w:left w:type="dxa" w:w="100"/>
              <w:bottom w:type="dxa" w:w="80"/>
              <w:right w:type="dxa" w:w="100"/>
            </w:tcMar>
          </w:tcPr>
          <w:p>
            <w:r>
              <w:rPr>
                <w:sz w:val="20"/>
                <w:szCs w:val="20"/>
              </w:rPr>
              <w:t xml:space="preserve">11</w:t>
            </w:r>
          </w:p>
        </w:tc>
        <w:tc>
          <w:tcPr>
            <w:tcW w:type="dxa" w:w="3116"/>
            <w:shd w:fill="F2F2F2" w:val="clear"/>
            <w:tcMar>
              <w:top w:type="dxa" w:w="80"/>
              <w:left w:type="dxa" w:w="100"/>
              <w:bottom w:type="dxa" w:w="80"/>
              <w:right w:type="dxa" w:w="100"/>
            </w:tcMar>
          </w:tcPr>
          <w:p>
            <w:r>
              <w:rPr>
                <w:sz w:val="20"/>
                <w:szCs w:val="20"/>
              </w:rPr>
              <w:t xml:space="preserve">114</w:t>
            </w:r>
          </w:p>
        </w:tc>
      </w:tr>
    </w:tbl>
    <w:p>
      <w:pPr>
        <w:spacing w:after="120"/>
      </w:pPr>
    </w:p>
    <w:p>
      <w:pPr>
        <w:spacing w:after="160" w:line="300"/>
      </w:pPr>
      <w:r>
        <w:rPr>
          <w:b/>
          <w:bCs/>
          <w:sz w:val="22"/>
          <w:szCs w:val="22"/>
        </w:rPr>
        <w:t xml:space="preserve">Finding: </w:t>
      </w:r>
      <w:r>
        <w:rPr>
          <w:sz w:val="22"/>
          <w:szCs w:val="22"/>
        </w:rPr>
        <w:t xml:space="preserve">91.2% of all Low performers have Above-7 absence. Among High performers, only 4 out of 142 do. The Key Influencer model puts a number on this: Under-7 attendance makes High performance 22.56 times more likely. Above-7 attendance makes Low performance 15.85 times more likely.</w:t>
      </w:r>
    </w:p>
    <w:p>
      <w:pPr>
        <w:spacing w:after="160" w:line="300"/>
      </w:pPr>
      <w:r>
        <w:rPr>
          <w:b/>
          <w:bCs/>
          <w:sz w:val="22"/>
          <w:szCs w:val="22"/>
        </w:rPr>
        <w:t xml:space="preserve">What it means: </w:t>
      </w:r>
      <w:r>
        <w:rPr>
          <w:sz w:val="22"/>
          <w:szCs w:val="22"/>
        </w:rPr>
        <w:t xml:space="preserve">This is the single strongest relationship in the entire dataset. No other factor comes close in size. Attendance is not one input among many here. It is the dominant one.</w:t>
      </w:r>
    </w:p>
    <w:p>
      <w:pPr>
        <w:spacing w:after="160" w:line="300"/>
      </w:pPr>
      <w:r>
        <w:rPr>
          <w:b/>
          <w:bCs/>
          <w:sz w:val="22"/>
          <w:szCs w:val="22"/>
        </w:rPr>
        <w:t xml:space="preserve">Recommendation:</w:t>
      </w:r>
    </w:p>
    <w:p>
      <w:pPr>
        <w:pStyle w:val="ListParagraph"/>
        <w:numPr>
          <w:ilvl w:val="0"/>
          <w:numId w:val="1"/>
        </w:numPr>
        <w:spacing w:after="100" w:line="280"/>
      </w:pPr>
      <w:r>
        <w:rPr>
          <w:sz w:val="22"/>
          <w:szCs w:val="22"/>
        </w:rPr>
        <w:t xml:space="preserve">Make attendance the school's number one policy trigger. Any student crossing into Above-7 absence should automatically start a support process, a phone call home and a counselor check-in, before the term ends, not after report cards are issued.</w:t>
      </w:r>
    </w:p>
    <w:p>
      <w:pPr>
        <w:pStyle w:val="ListParagraph"/>
        <w:numPr>
          <w:ilvl w:val="0"/>
          <w:numId w:val="1"/>
        </w:numPr>
        <w:spacing w:after="100" w:line="280"/>
      </w:pPr>
      <w:r>
        <w:rPr>
          <w:sz w:val="22"/>
          <w:szCs w:val="22"/>
        </w:rPr>
        <w:t xml:space="preserve">Set attendance as the first filter in any future early-warning system built from this data. Every other factor in this report should be layered on top of attendance, not ahead of it.</w:t>
      </w:r>
    </w:p>
    <w:p>
      <w:pPr>
        <w:pStyle w:val="Heading1"/>
        <w:spacing w:after="200" w:before="400"/>
      </w:pPr>
      <w:r>
        <w:rPr>
          <w:b/>
          <w:bCs/>
          <w:color w:val="1F3864"/>
          <w:sz w:val="28"/>
          <w:szCs w:val="28"/>
        </w:rPr>
        <w:t xml:space="preserve">5. Education Stage and Grade</w:t>
      </w:r>
    </w:p>
    <w:p>
      <w:pPr>
        <w:spacing w:after="160" w:line="300"/>
      </w:pPr>
      <w:r>
        <w:rPr>
          <w:sz w:val="22"/>
          <w:szCs w:val="22"/>
        </w:rPr>
        <w:t xml:space="preserve">Business question: Which education stage (StageID) or grade (GradeID) shows the highest or lowest average performance?</w:t>
      </w:r>
    </w:p>
    <w:p>
      <w:pPr>
        <w:pStyle w:val="Heading2"/>
        <w:spacing w:after="140" w:before="280"/>
      </w:pPr>
      <w:r>
        <w:rPr>
          <w:b/>
          <w:bCs/>
          <w:color w:val="1F3864"/>
          <w:sz w:val="24"/>
          <w:szCs w:val="24"/>
        </w:rPr>
        <w:t xml:space="preserve">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80"/>
              <w:left w:type="dxa" w:w="100"/>
              <w:bottom w:type="dxa" w:w="80"/>
              <w:right w:type="dxa" w:w="100"/>
            </w:tcMar>
          </w:tcPr>
          <w:p>
            <w:r>
              <w:rPr>
                <w:b/>
                <w:bCs/>
                <w:color w:val="FFFFFF"/>
                <w:sz w:val="20"/>
                <w:szCs w:val="20"/>
              </w:rPr>
              <w:t xml:space="preserve">Stage</w:t>
            </w:r>
          </w:p>
        </w:tc>
        <w:tc>
          <w:tcPr>
            <w:tcW w:type="dxa" w:w="4675"/>
            <w:shd w:fill="1F3864" w:val="clear"/>
            <w:tcMar>
              <w:top w:type="dxa" w:w="80"/>
              <w:left w:type="dxa" w:w="100"/>
              <w:bottom w:type="dxa" w:w="80"/>
              <w:right w:type="dxa" w:w="100"/>
            </w:tcMar>
          </w:tcPr>
          <w:p>
            <w:r>
              <w:rPr>
                <w:b/>
                <w:bCs/>
                <w:color w:val="FFFFFF"/>
                <w:sz w:val="20"/>
                <w:szCs w:val="20"/>
              </w:rPr>
              <w:t xml:space="preserve">% High Performers</w:t>
            </w:r>
          </w:p>
        </w:tc>
      </w:tr>
      <w:tr>
        <w:tc>
          <w:tcPr>
            <w:tcW w:type="dxa" w:w="4675"/>
            <w:shd w:fill="F2F2F2" w:val="clear"/>
            <w:tcMar>
              <w:top w:type="dxa" w:w="80"/>
              <w:left w:type="dxa" w:w="100"/>
              <w:bottom w:type="dxa" w:w="80"/>
              <w:right w:type="dxa" w:w="100"/>
            </w:tcMar>
          </w:tcPr>
          <w:p>
            <w:r>
              <w:rPr>
                <w:sz w:val="20"/>
                <w:szCs w:val="20"/>
              </w:rPr>
              <w:t xml:space="preserve">High School</w:t>
            </w:r>
          </w:p>
        </w:tc>
        <w:tc>
          <w:tcPr>
            <w:tcW w:type="dxa" w:w="4675"/>
            <w:shd w:fill="F2F2F2" w:val="clear"/>
            <w:tcMar>
              <w:top w:type="dxa" w:w="80"/>
              <w:left w:type="dxa" w:w="100"/>
              <w:bottom w:type="dxa" w:w="80"/>
              <w:right w:type="dxa" w:w="100"/>
            </w:tcMar>
          </w:tcPr>
          <w:p>
            <w:r>
              <w:rPr>
                <w:sz w:val="20"/>
                <w:szCs w:val="20"/>
              </w:rPr>
              <w:t xml:space="preserve">33.33%</w:t>
            </w:r>
          </w:p>
        </w:tc>
      </w:tr>
      <w:tr>
        <w:tc>
          <w:tcPr>
            <w:tcW w:type="dxa" w:w="4675"/>
            <w:shd w:fill="FFFFFF" w:val="clear"/>
            <w:tcMar>
              <w:top w:type="dxa" w:w="80"/>
              <w:left w:type="dxa" w:w="100"/>
              <w:bottom w:type="dxa" w:w="80"/>
              <w:right w:type="dxa" w:w="100"/>
            </w:tcMar>
          </w:tcPr>
          <w:p>
            <w:r>
              <w:rPr>
                <w:sz w:val="20"/>
                <w:szCs w:val="20"/>
              </w:rPr>
              <w:t xml:space="preserve">Middle School</w:t>
            </w:r>
          </w:p>
        </w:tc>
        <w:tc>
          <w:tcPr>
            <w:tcW w:type="dxa" w:w="4675"/>
            <w:shd w:fill="FFFFFF" w:val="clear"/>
            <w:tcMar>
              <w:top w:type="dxa" w:w="80"/>
              <w:left w:type="dxa" w:w="100"/>
              <w:bottom w:type="dxa" w:w="80"/>
              <w:right w:type="dxa" w:w="100"/>
            </w:tcMar>
          </w:tcPr>
          <w:p>
            <w:r>
              <w:rPr>
                <w:sz w:val="20"/>
                <w:szCs w:val="20"/>
              </w:rPr>
              <w:t xml:space="preserve">30.65%</w:t>
            </w:r>
          </w:p>
        </w:tc>
      </w:tr>
      <w:tr>
        <w:tc>
          <w:tcPr>
            <w:tcW w:type="dxa" w:w="4675"/>
            <w:shd w:fill="F2F2F2" w:val="clear"/>
            <w:tcMar>
              <w:top w:type="dxa" w:w="80"/>
              <w:left w:type="dxa" w:w="100"/>
              <w:bottom w:type="dxa" w:w="80"/>
              <w:right w:type="dxa" w:w="100"/>
            </w:tcMar>
          </w:tcPr>
          <w:p>
            <w:r>
              <w:rPr>
                <w:sz w:val="20"/>
                <w:szCs w:val="20"/>
              </w:rPr>
              <w:t xml:space="preserve">Lower Level</w:t>
            </w:r>
          </w:p>
        </w:tc>
        <w:tc>
          <w:tcPr>
            <w:tcW w:type="dxa" w:w="4675"/>
            <w:shd w:fill="F2F2F2" w:val="clear"/>
            <w:tcMar>
              <w:top w:type="dxa" w:w="80"/>
              <w:left w:type="dxa" w:w="100"/>
              <w:bottom w:type="dxa" w:w="80"/>
              <w:right w:type="dxa" w:w="100"/>
            </w:tcMar>
          </w:tcPr>
          <w:p>
            <w:r>
              <w:rPr>
                <w:sz w:val="20"/>
                <w:szCs w:val="20"/>
              </w:rPr>
              <w:t xml:space="preserve">27.92%</w:t>
            </w:r>
          </w:p>
        </w:tc>
      </w:tr>
    </w:tbl>
    <w:p>
      <w:pPr>
        <w:spacing w:after="120"/>
      </w:pPr>
    </w:p>
    <w:p>
      <w:pPr>
        <w:spacing w:after="160" w:line="300"/>
      </w:pPr>
      <w:r>
        <w:rPr>
          <w:b/>
          <w:bCs/>
          <w:sz w:val="22"/>
          <w:szCs w:val="22"/>
        </w:rPr>
        <w:t xml:space="preserve">Finding: </w:t>
      </w:r>
      <w:r>
        <w:rPr>
          <w:sz w:val="22"/>
          <w:szCs w:val="22"/>
        </w:rPr>
        <w:t xml:space="preserve">Performance rises steadily as students move up through school stages.</w:t>
      </w:r>
    </w:p>
    <w:p>
      <w:pPr>
        <w:spacing w:after="160" w:line="300"/>
      </w:pPr>
      <w:r>
        <w:rPr>
          <w:b/>
          <w:bCs/>
          <w:sz w:val="22"/>
          <w:szCs w:val="22"/>
        </w:rPr>
        <w:t xml:space="preserve">What it means: </w:t>
      </w:r>
      <w:r>
        <w:rPr>
          <w:sz w:val="22"/>
          <w:szCs w:val="22"/>
        </w:rPr>
        <w:t xml:space="preserve">This is a clean, directional trend. It suggests that whatever support structures exist strengthen as students get older, or that younger students need more structured support earlier. Either reading points to the same action.</w:t>
      </w:r>
    </w:p>
    <w:p>
      <w:pPr>
        <w:pStyle w:val="Heading2"/>
        <w:spacing w:after="140" w:before="280"/>
      </w:pPr>
      <w:r>
        <w:rPr>
          <w:b/>
          <w:bCs/>
          <w:color w:val="1F3864"/>
          <w:sz w:val="24"/>
          <w:szCs w:val="24"/>
        </w:rPr>
        <w:t xml:space="preserve">Grade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80"/>
              <w:left w:type="dxa" w:w="100"/>
              <w:bottom w:type="dxa" w:w="80"/>
              <w:right w:type="dxa" w:w="100"/>
            </w:tcMar>
          </w:tcPr>
          <w:p>
            <w:r>
              <w:rPr>
                <w:b/>
                <w:bCs/>
                <w:color w:val="FFFFFF"/>
                <w:sz w:val="20"/>
                <w:szCs w:val="20"/>
              </w:rPr>
              <w:t xml:space="preserve">Grade</w:t>
            </w:r>
          </w:p>
        </w:tc>
        <w:tc>
          <w:tcPr>
            <w:tcW w:type="dxa" w:w="4675"/>
            <w:shd w:fill="1F3864" w:val="clear"/>
            <w:tcMar>
              <w:top w:type="dxa" w:w="80"/>
              <w:left w:type="dxa" w:w="100"/>
              <w:bottom w:type="dxa" w:w="80"/>
              <w:right w:type="dxa" w:w="100"/>
            </w:tcMar>
          </w:tcPr>
          <w:p>
            <w:r>
              <w:rPr>
                <w:b/>
                <w:bCs/>
                <w:color w:val="FFFFFF"/>
                <w:sz w:val="20"/>
                <w:szCs w:val="20"/>
              </w:rPr>
              <w:t xml:space="preserve">% High Performers</w:t>
            </w:r>
          </w:p>
        </w:tc>
      </w:tr>
      <w:tr>
        <w:tc>
          <w:tcPr>
            <w:tcW w:type="dxa" w:w="4675"/>
            <w:shd w:fill="F2F2F2" w:val="clear"/>
            <w:tcMar>
              <w:top w:type="dxa" w:w="80"/>
              <w:left w:type="dxa" w:w="100"/>
              <w:bottom w:type="dxa" w:w="80"/>
              <w:right w:type="dxa" w:w="100"/>
            </w:tcMar>
          </w:tcPr>
          <w:p>
            <w:r>
              <w:rPr>
                <w:sz w:val="20"/>
                <w:szCs w:val="20"/>
              </w:rPr>
              <w:t xml:space="preserve">G-11</w:t>
            </w:r>
          </w:p>
        </w:tc>
        <w:tc>
          <w:tcPr>
            <w:tcW w:type="dxa" w:w="4675"/>
            <w:shd w:fill="F2F2F2" w:val="clear"/>
            <w:tcMar>
              <w:top w:type="dxa" w:w="80"/>
              <w:left w:type="dxa" w:w="100"/>
              <w:bottom w:type="dxa" w:w="80"/>
              <w:right w:type="dxa" w:w="100"/>
            </w:tcMar>
          </w:tcPr>
          <w:p>
            <w:r>
              <w:rPr>
                <w:sz w:val="20"/>
                <w:szCs w:val="20"/>
              </w:rPr>
              <w:t xml:space="preserve">46.15%</w:t>
            </w:r>
          </w:p>
        </w:tc>
      </w:tr>
      <w:tr>
        <w:tc>
          <w:tcPr>
            <w:tcW w:type="dxa" w:w="4675"/>
            <w:shd w:fill="FFFFFF" w:val="clear"/>
            <w:tcMar>
              <w:top w:type="dxa" w:w="80"/>
              <w:left w:type="dxa" w:w="100"/>
              <w:bottom w:type="dxa" w:w="80"/>
              <w:right w:type="dxa" w:w="100"/>
            </w:tcMar>
          </w:tcPr>
          <w:p>
            <w:r>
              <w:rPr>
                <w:sz w:val="20"/>
                <w:szCs w:val="20"/>
              </w:rPr>
              <w:t xml:space="preserve">G-06</w:t>
            </w:r>
          </w:p>
        </w:tc>
        <w:tc>
          <w:tcPr>
            <w:tcW w:type="dxa" w:w="4675"/>
            <w:shd w:fill="FFFFFF" w:val="clear"/>
            <w:tcMar>
              <w:top w:type="dxa" w:w="80"/>
              <w:left w:type="dxa" w:w="100"/>
              <w:bottom w:type="dxa" w:w="80"/>
              <w:right w:type="dxa" w:w="100"/>
            </w:tcMar>
          </w:tcPr>
          <w:p>
            <w:r>
              <w:rPr>
                <w:sz w:val="20"/>
                <w:szCs w:val="20"/>
              </w:rPr>
              <w:t xml:space="preserve">43.75%</w:t>
            </w:r>
          </w:p>
        </w:tc>
      </w:tr>
      <w:tr>
        <w:tc>
          <w:tcPr>
            <w:tcW w:type="dxa" w:w="4675"/>
            <w:shd w:fill="F2F2F2" w:val="clear"/>
            <w:tcMar>
              <w:top w:type="dxa" w:w="80"/>
              <w:left w:type="dxa" w:w="100"/>
              <w:bottom w:type="dxa" w:w="80"/>
              <w:right w:type="dxa" w:w="100"/>
            </w:tcMar>
          </w:tcPr>
          <w:p>
            <w:r>
              <w:rPr>
                <w:sz w:val="20"/>
                <w:szCs w:val="20"/>
              </w:rPr>
              <w:t xml:space="preserve">G-12</w:t>
            </w:r>
          </w:p>
        </w:tc>
        <w:tc>
          <w:tcPr>
            <w:tcW w:type="dxa" w:w="4675"/>
            <w:shd w:fill="F2F2F2" w:val="clear"/>
            <w:tcMar>
              <w:top w:type="dxa" w:w="80"/>
              <w:left w:type="dxa" w:w="100"/>
              <w:bottom w:type="dxa" w:w="80"/>
              <w:right w:type="dxa" w:w="100"/>
            </w:tcMar>
          </w:tcPr>
          <w:p>
            <w:r>
              <w:rPr>
                <w:sz w:val="20"/>
                <w:szCs w:val="20"/>
              </w:rPr>
              <w:t xml:space="preserve">36.36%</w:t>
            </w:r>
          </w:p>
        </w:tc>
      </w:tr>
      <w:tr>
        <w:tc>
          <w:tcPr>
            <w:tcW w:type="dxa" w:w="4675"/>
            <w:shd w:fill="FFFFFF" w:val="clear"/>
            <w:tcMar>
              <w:top w:type="dxa" w:w="80"/>
              <w:left w:type="dxa" w:w="100"/>
              <w:bottom w:type="dxa" w:w="80"/>
              <w:right w:type="dxa" w:w="100"/>
            </w:tcMar>
          </w:tcPr>
          <w:p>
            <w:r>
              <w:rPr>
                <w:sz w:val="20"/>
                <w:szCs w:val="20"/>
              </w:rPr>
              <w:t xml:space="preserve">G-04</w:t>
            </w:r>
          </w:p>
        </w:tc>
        <w:tc>
          <w:tcPr>
            <w:tcW w:type="dxa" w:w="4675"/>
            <w:shd w:fill="FFFFFF" w:val="clear"/>
            <w:tcMar>
              <w:top w:type="dxa" w:w="80"/>
              <w:left w:type="dxa" w:w="100"/>
              <w:bottom w:type="dxa" w:w="80"/>
              <w:right w:type="dxa" w:w="100"/>
            </w:tcMar>
          </w:tcPr>
          <w:p>
            <w:r>
              <w:rPr>
                <w:sz w:val="20"/>
                <w:szCs w:val="20"/>
              </w:rPr>
              <w:t xml:space="preserve">29.17%</w:t>
            </w:r>
          </w:p>
        </w:tc>
      </w:tr>
      <w:tr>
        <w:tc>
          <w:tcPr>
            <w:tcW w:type="dxa" w:w="4675"/>
            <w:shd w:fill="F2F2F2" w:val="clear"/>
            <w:tcMar>
              <w:top w:type="dxa" w:w="80"/>
              <w:left w:type="dxa" w:w="100"/>
              <w:bottom w:type="dxa" w:w="80"/>
              <w:right w:type="dxa" w:w="100"/>
            </w:tcMar>
          </w:tcPr>
          <w:p>
            <w:r>
              <w:rPr>
                <w:sz w:val="20"/>
                <w:szCs w:val="20"/>
              </w:rPr>
              <w:t xml:space="preserve">G-07</w:t>
            </w:r>
          </w:p>
        </w:tc>
        <w:tc>
          <w:tcPr>
            <w:tcW w:type="dxa" w:w="4675"/>
            <w:shd w:fill="F2F2F2" w:val="clear"/>
            <w:tcMar>
              <w:top w:type="dxa" w:w="80"/>
              <w:left w:type="dxa" w:w="100"/>
              <w:bottom w:type="dxa" w:w="80"/>
              <w:right w:type="dxa" w:w="100"/>
            </w:tcMar>
          </w:tcPr>
          <w:p>
            <w:r>
              <w:rPr>
                <w:sz w:val="20"/>
                <w:szCs w:val="20"/>
              </w:rPr>
              <w:t xml:space="preserve">28.71%</w:t>
            </w:r>
          </w:p>
        </w:tc>
      </w:tr>
      <w:tr>
        <w:tc>
          <w:tcPr>
            <w:tcW w:type="dxa" w:w="4675"/>
            <w:shd w:fill="FFFFFF" w:val="clear"/>
            <w:tcMar>
              <w:top w:type="dxa" w:w="80"/>
              <w:left w:type="dxa" w:w="100"/>
              <w:bottom w:type="dxa" w:w="80"/>
              <w:right w:type="dxa" w:w="100"/>
            </w:tcMar>
          </w:tcPr>
          <w:p>
            <w:r>
              <w:rPr>
                <w:sz w:val="20"/>
                <w:szCs w:val="20"/>
              </w:rPr>
              <w:t xml:space="preserve">G-08</w:t>
            </w:r>
          </w:p>
        </w:tc>
        <w:tc>
          <w:tcPr>
            <w:tcW w:type="dxa" w:w="4675"/>
            <w:shd w:fill="FFFFFF" w:val="clear"/>
            <w:tcMar>
              <w:top w:type="dxa" w:w="80"/>
              <w:left w:type="dxa" w:w="100"/>
              <w:bottom w:type="dxa" w:w="80"/>
              <w:right w:type="dxa" w:w="100"/>
            </w:tcMar>
          </w:tcPr>
          <w:p>
            <w:r>
              <w:rPr>
                <w:sz w:val="20"/>
                <w:szCs w:val="20"/>
              </w:rPr>
              <w:t xml:space="preserve">28.45%</w:t>
            </w:r>
          </w:p>
        </w:tc>
      </w:tr>
      <w:tr>
        <w:tc>
          <w:tcPr>
            <w:tcW w:type="dxa" w:w="4675"/>
            <w:shd w:fill="F2F2F2" w:val="clear"/>
            <w:tcMar>
              <w:top w:type="dxa" w:w="80"/>
              <w:left w:type="dxa" w:w="100"/>
              <w:bottom w:type="dxa" w:w="80"/>
              <w:right w:type="dxa" w:w="100"/>
            </w:tcMar>
          </w:tcPr>
          <w:p>
            <w:r>
              <w:rPr>
                <w:sz w:val="20"/>
                <w:szCs w:val="20"/>
              </w:rPr>
              <w:t xml:space="preserve">G-02</w:t>
            </w:r>
          </w:p>
        </w:tc>
        <w:tc>
          <w:tcPr>
            <w:tcW w:type="dxa" w:w="4675"/>
            <w:shd w:fill="F2F2F2" w:val="clear"/>
            <w:tcMar>
              <w:top w:type="dxa" w:w="80"/>
              <w:left w:type="dxa" w:w="100"/>
              <w:bottom w:type="dxa" w:w="80"/>
              <w:right w:type="dxa" w:w="100"/>
            </w:tcMar>
          </w:tcPr>
          <w:p>
            <w:r>
              <w:rPr>
                <w:sz w:val="20"/>
                <w:szCs w:val="20"/>
              </w:rPr>
              <w:t xml:space="preserve">28.28%</w:t>
            </w:r>
          </w:p>
        </w:tc>
      </w:tr>
      <w:tr>
        <w:tc>
          <w:tcPr>
            <w:tcW w:type="dxa" w:w="4675"/>
            <w:shd w:fill="FFFFFF" w:val="clear"/>
            <w:tcMar>
              <w:top w:type="dxa" w:w="80"/>
              <w:left w:type="dxa" w:w="100"/>
              <w:bottom w:type="dxa" w:w="80"/>
              <w:right w:type="dxa" w:w="100"/>
            </w:tcMar>
          </w:tcPr>
          <w:p>
            <w:r>
              <w:rPr>
                <w:sz w:val="20"/>
                <w:szCs w:val="20"/>
              </w:rPr>
              <w:t xml:space="preserve">G-10</w:t>
            </w:r>
          </w:p>
        </w:tc>
        <w:tc>
          <w:tcPr>
            <w:tcW w:type="dxa" w:w="4675"/>
            <w:shd w:fill="FFFFFF" w:val="clear"/>
            <w:tcMar>
              <w:top w:type="dxa" w:w="80"/>
              <w:left w:type="dxa" w:w="100"/>
              <w:bottom w:type="dxa" w:w="80"/>
              <w:right w:type="dxa" w:w="100"/>
            </w:tcMar>
          </w:tcPr>
          <w:p>
            <w:r>
              <w:rPr>
                <w:sz w:val="20"/>
                <w:szCs w:val="20"/>
              </w:rPr>
              <w:t xml:space="preserve">25.00%</w:t>
            </w:r>
          </w:p>
        </w:tc>
      </w:tr>
    </w:tbl>
    <w:p>
      <w:pPr>
        <w:spacing w:after="120"/>
      </w:pPr>
    </w:p>
    <w:p>
      <w:pPr>
        <w:spacing w:after="160" w:line="300"/>
      </w:pPr>
      <w:r>
        <w:rPr>
          <w:b/>
          <w:bCs/>
          <w:sz w:val="22"/>
          <w:szCs w:val="22"/>
        </w:rPr>
        <w:t xml:space="preserve">Finding: </w:t>
      </w:r>
      <w:r>
        <w:rPr>
          <w:sz w:val="22"/>
          <w:szCs w:val="22"/>
        </w:rPr>
        <w:t xml:space="preserve">Grade-level results do not follow the same smooth pattern as stage. G-11 is the highest-performing grade in the school, while G-10, one grade below it, is the lowest.</w:t>
      </w:r>
    </w:p>
    <w:p>
      <w:pPr>
        <w:spacing w:after="160" w:line="300"/>
      </w:pPr>
      <w:r>
        <w:rPr>
          <w:b/>
          <w:bCs/>
          <w:sz w:val="22"/>
          <w:szCs w:val="22"/>
        </w:rPr>
        <w:t xml:space="preserve">What it means: </w:t>
      </w:r>
      <w:r>
        <w:rPr>
          <w:sz w:val="22"/>
          <w:szCs w:val="22"/>
        </w:rPr>
        <w:t xml:space="preserve">A jump this large between two adjacent grades is unlikely to be explained by age or stage alone. It points to something specific to that grade, such as class composition, teacher assignment, or section-level differences, none of which are in the current dashboard.</w:t>
      </w:r>
    </w:p>
    <w:p>
      <w:pPr>
        <w:spacing w:after="160" w:line="300"/>
      </w:pPr>
      <w:r>
        <w:rPr>
          <w:b/>
          <w:bCs/>
          <w:color w:val="C00000"/>
          <w:sz w:val="22"/>
          <w:szCs w:val="22"/>
        </w:rPr>
        <w:t xml:space="preserve">Risk: </w:t>
      </w:r>
      <w:r>
        <w:rPr>
          <w:sz w:val="22"/>
          <w:szCs w:val="22"/>
        </w:rPr>
        <w:t xml:space="preserve">Acting on grade-level numbers as if they reflect a stable pattern could mean fixing the wrong thing. The G-10 dip may be a single cohort or teacher effect, not a structural grade-level issue.</w:t>
      </w:r>
    </w:p>
    <w:p>
      <w:pPr>
        <w:spacing w:after="160" w:line="300"/>
      </w:pPr>
      <w:r>
        <w:rPr>
          <w:b/>
          <w:bCs/>
          <w:color w:val="C00000"/>
          <w:sz w:val="22"/>
          <w:szCs w:val="22"/>
        </w:rPr>
        <w:t xml:space="preserve">Data pivot required: </w:t>
      </w:r>
      <w:r>
        <w:rPr>
          <w:sz w:val="22"/>
          <w:szCs w:val="22"/>
        </w:rPr>
        <w:t xml:space="preserve">Pull SectionID and teacher-assignment data for G-10 and G-11 specifically, and compare class-by-class rather than grade-by-grade. This will show whether the gap is a grade issue or a specific classroom issue.</w:t>
      </w:r>
    </w:p>
    <w:p>
      <w:pPr>
        <w:spacing w:after="160" w:line="300"/>
      </w:pPr>
      <w:r>
        <w:rPr>
          <w:b/>
          <w:bCs/>
          <w:sz w:val="22"/>
          <w:szCs w:val="22"/>
        </w:rPr>
        <w:t xml:space="preserve">Recommendation:</w:t>
      </w:r>
    </w:p>
    <w:p>
      <w:pPr>
        <w:pStyle w:val="ListParagraph"/>
        <w:numPr>
          <w:ilvl w:val="0"/>
          <w:numId w:val="1"/>
        </w:numPr>
        <w:spacing w:after="100" w:line="280"/>
      </w:pPr>
      <w:r>
        <w:rPr>
          <w:sz w:val="22"/>
          <w:szCs w:val="22"/>
        </w:rPr>
        <w:t xml:space="preserve">Use the Stage trend for structural, school-wide policy, since it is smooth and directional.</w:t>
      </w:r>
    </w:p>
    <w:p>
      <w:pPr>
        <w:pStyle w:val="ListParagraph"/>
        <w:numPr>
          <w:ilvl w:val="0"/>
          <w:numId w:val="1"/>
        </w:numPr>
        <w:spacing w:after="100" w:line="280"/>
      </w:pPr>
      <w:r>
        <w:rPr>
          <w:sz w:val="22"/>
          <w:szCs w:val="22"/>
        </w:rPr>
        <w:t xml:space="preserve">Treat the Grade-level swings as a flag for investigation, not a basis for policy, until the section-level data above is reviewed.</w:t>
      </w:r>
    </w:p>
    <w:p>
      <w:pPr>
        <w:pStyle w:val="Heading1"/>
        <w:spacing w:after="200" w:before="400"/>
      </w:pPr>
      <w:r>
        <w:rPr>
          <w:b/>
          <w:bCs/>
          <w:color w:val="1F3864"/>
          <w:sz w:val="28"/>
          <w:szCs w:val="28"/>
        </w:rPr>
        <w:t xml:space="preserve">6. Parental Involvement and Satisfaction</w:t>
      </w:r>
    </w:p>
    <w:p>
      <w:pPr>
        <w:spacing w:after="160" w:line="300"/>
      </w:pPr>
      <w:r>
        <w:rPr>
          <w:sz w:val="22"/>
          <w:szCs w:val="22"/>
        </w:rPr>
        <w:t xml:space="preserve">Business question: Does parent involvement or satisfaction correlate with student success?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80"/>
              <w:left w:type="dxa" w:w="100"/>
              <w:bottom w:type="dxa" w:w="80"/>
              <w:right w:type="dxa" w:w="100"/>
            </w:tcMar>
          </w:tcPr>
          <w:p>
            <w:r>
              <w:rPr>
                <w:b/>
                <w:bCs/>
                <w:color w:val="FFFFFF"/>
                <w:sz w:val="20"/>
                <w:szCs w:val="20"/>
              </w:rPr>
              <w:t xml:space="preserve">Class</w:t>
            </w:r>
          </w:p>
        </w:tc>
        <w:tc>
          <w:tcPr>
            <w:tcW w:type="dxa" w:w="4675"/>
            <w:shd w:fill="1F3864" w:val="clear"/>
            <w:tcMar>
              <w:top w:type="dxa" w:w="80"/>
              <w:left w:type="dxa" w:w="100"/>
              <w:bottom w:type="dxa" w:w="80"/>
              <w:right w:type="dxa" w:w="100"/>
            </w:tcMar>
          </w:tcPr>
          <w:p>
            <w:r>
              <w:rPr>
                <w:b/>
                <w:bCs/>
                <w:color w:val="FFFFFF"/>
                <w:sz w:val="20"/>
                <w:szCs w:val="20"/>
              </w:rPr>
              <w:t xml:space="preserve">% Parent Satisfaction (Good)</w:t>
            </w:r>
          </w:p>
        </w:tc>
      </w:tr>
      <w:tr>
        <w:tc>
          <w:tcPr>
            <w:tcW w:type="dxa" w:w="4675"/>
            <w:shd w:fill="F2F2F2" w:val="clear"/>
            <w:tcMar>
              <w:top w:type="dxa" w:w="80"/>
              <w:left w:type="dxa" w:w="100"/>
              <w:bottom w:type="dxa" w:w="80"/>
              <w:right w:type="dxa" w:w="100"/>
            </w:tcMar>
          </w:tcPr>
          <w:p>
            <w:r>
              <w:rPr>
                <w:sz w:val="20"/>
                <w:szCs w:val="20"/>
              </w:rPr>
              <w:t xml:space="preserve">High</w:t>
            </w:r>
          </w:p>
        </w:tc>
        <w:tc>
          <w:tcPr>
            <w:tcW w:type="dxa" w:w="4675"/>
            <w:shd w:fill="F2F2F2" w:val="clear"/>
            <w:tcMar>
              <w:top w:type="dxa" w:w="80"/>
              <w:left w:type="dxa" w:w="100"/>
              <w:bottom w:type="dxa" w:w="80"/>
              <w:right w:type="dxa" w:w="100"/>
            </w:tcMar>
          </w:tcPr>
          <w:p>
            <w:r>
              <w:rPr>
                <w:sz w:val="20"/>
                <w:szCs w:val="20"/>
              </w:rPr>
              <w:t xml:space="preserve">83.10%</w:t>
            </w:r>
          </w:p>
        </w:tc>
      </w:tr>
      <w:tr>
        <w:tc>
          <w:tcPr>
            <w:tcW w:type="dxa" w:w="4675"/>
            <w:shd w:fill="FFFFFF" w:val="clear"/>
            <w:tcMar>
              <w:top w:type="dxa" w:w="80"/>
              <w:left w:type="dxa" w:w="100"/>
              <w:bottom w:type="dxa" w:w="80"/>
              <w:right w:type="dxa" w:w="100"/>
            </w:tcMar>
          </w:tcPr>
          <w:p>
            <w:r>
              <w:rPr>
                <w:sz w:val="20"/>
                <w:szCs w:val="20"/>
              </w:rPr>
              <w:t xml:space="preserve">Medium</w:t>
            </w:r>
          </w:p>
        </w:tc>
        <w:tc>
          <w:tcPr>
            <w:tcW w:type="dxa" w:w="4675"/>
            <w:shd w:fill="FFFFFF" w:val="clear"/>
            <w:tcMar>
              <w:top w:type="dxa" w:w="80"/>
              <w:left w:type="dxa" w:w="100"/>
              <w:bottom w:type="dxa" w:w="80"/>
              <w:right w:type="dxa" w:w="100"/>
            </w:tcMar>
          </w:tcPr>
          <w:p>
            <w:r>
              <w:rPr>
                <w:sz w:val="20"/>
                <w:szCs w:val="20"/>
              </w:rPr>
              <w:t xml:space="preserve">62.09%</w:t>
            </w:r>
          </w:p>
        </w:tc>
      </w:tr>
      <w:tr>
        <w:tc>
          <w:tcPr>
            <w:tcW w:type="dxa" w:w="4675"/>
            <w:shd w:fill="F2F2F2" w:val="clear"/>
            <w:tcMar>
              <w:top w:type="dxa" w:w="80"/>
              <w:left w:type="dxa" w:w="100"/>
              <w:bottom w:type="dxa" w:w="80"/>
              <w:right w:type="dxa" w:w="100"/>
            </w:tcMar>
          </w:tcPr>
          <w:p>
            <w:r>
              <w:rPr>
                <w:sz w:val="20"/>
                <w:szCs w:val="20"/>
              </w:rPr>
              <w:t xml:space="preserve">Low</w:t>
            </w:r>
          </w:p>
        </w:tc>
        <w:tc>
          <w:tcPr>
            <w:tcW w:type="dxa" w:w="4675"/>
            <w:shd w:fill="F2F2F2" w:val="clear"/>
            <w:tcMar>
              <w:top w:type="dxa" w:w="80"/>
              <w:left w:type="dxa" w:w="100"/>
              <w:bottom w:type="dxa" w:w="80"/>
              <w:right w:type="dxa" w:w="100"/>
            </w:tcMar>
          </w:tcPr>
          <w:p>
            <w:r>
              <w:rPr>
                <w:sz w:val="20"/>
                <w:szCs w:val="20"/>
              </w:rPr>
              <w:t xml:space="preserve">34.40%</w:t>
            </w:r>
          </w:p>
        </w:tc>
      </w:tr>
    </w:tbl>
    <w:p>
      <w:pPr>
        <w:spacing w:after="120"/>
      </w:pPr>
    </w:p>
    <w:p>
      <w:pPr>
        <w:spacing w:after="160" w:line="300"/>
      </w:pPr>
      <w:r>
        <w:rPr>
          <w:b/>
          <w:bCs/>
          <w:sz w:val="22"/>
          <w:szCs w:val="22"/>
        </w:rPr>
        <w:t xml:space="preserve">Finding: </w:t>
      </w:r>
      <w:r>
        <w:rPr>
          <w:sz w:val="22"/>
          <w:szCs w:val="22"/>
        </w:rPr>
        <w:t xml:space="preserve">Parent satisfaction falls in a straight line from High to Low performers, from 83.1% down to 34.4%. The Key Influencer model confirms this direction on both ends: Good satisfaction makes High performance 3.13 times more likely, and Bad satisfaction makes Low performance 2.99 times more likely.</w:t>
      </w:r>
    </w:p>
    <w:p>
      <w:pPr>
        <w:spacing w:after="160" w:line="300"/>
      </w:pPr>
      <w:r>
        <w:rPr>
          <w:b/>
          <w:bCs/>
          <w:sz w:val="22"/>
          <w:szCs w:val="22"/>
        </w:rPr>
        <w:t xml:space="preserve">What it means: </w:t>
      </w:r>
      <w:r>
        <w:rPr>
          <w:sz w:val="22"/>
          <w:szCs w:val="22"/>
        </w:rPr>
        <w:t xml:space="preserve">This is the second strongest lever in the dataset, right behind attendance. It also happens to be one the school can influence directly and immediately, unlike gender or nationality.</w:t>
      </w:r>
    </w:p>
    <w:p>
      <w:pPr>
        <w:spacing w:after="160" w:line="300"/>
      </w:pPr>
      <w:r>
        <w:rPr>
          <w:b/>
          <w:bCs/>
          <w:sz w:val="22"/>
          <w:szCs w:val="22"/>
        </w:rPr>
        <w:t xml:space="preserve">Recommendation:</w:t>
      </w:r>
    </w:p>
    <w:p>
      <w:pPr>
        <w:pStyle w:val="ListParagraph"/>
        <w:numPr>
          <w:ilvl w:val="0"/>
          <w:numId w:val="1"/>
        </w:numPr>
        <w:spacing w:after="100" w:line="280"/>
      </w:pPr>
      <w:r>
        <w:rPr>
          <w:sz w:val="22"/>
          <w:szCs w:val="22"/>
        </w:rPr>
        <w:t xml:space="preserve">Build a structured parent check-in track for any family currently flagged as "Bad" satisfaction. Do not wait for a parent to reach out first.</w:t>
      </w:r>
    </w:p>
    <w:p>
      <w:pPr>
        <w:pStyle w:val="ListParagraph"/>
        <w:numPr>
          <w:ilvl w:val="0"/>
          <w:numId w:val="1"/>
        </w:numPr>
        <w:spacing w:after="100" w:line="280"/>
      </w:pPr>
      <w:r>
        <w:rPr>
          <w:sz w:val="22"/>
          <w:szCs w:val="22"/>
        </w:rPr>
        <w:t xml:space="preserve">Connect this track to the same trigger system recommended for attendance in Section 4. A student who is both Above-7 absence and Bad satisfaction should be the highest priority case on any teacher's list.</w:t>
      </w:r>
    </w:p>
    <w:p>
      <w:pPr>
        <w:pStyle w:val="Heading1"/>
        <w:spacing w:after="200" w:before="400"/>
      </w:pPr>
      <w:r>
        <w:rPr>
          <w:b/>
          <w:bCs/>
          <w:color w:val="1F3864"/>
          <w:sz w:val="28"/>
          <w:szCs w:val="28"/>
        </w:rPr>
        <w:t xml:space="preserve">7. Predicting Future Performance</w:t>
      </w:r>
    </w:p>
    <w:p>
      <w:pPr>
        <w:spacing w:after="160" w:line="300"/>
      </w:pPr>
      <w:r>
        <w:rPr>
          <w:sz w:val="22"/>
          <w:szCs w:val="22"/>
        </w:rPr>
        <w:t xml:space="preserve">Business question: Can we predict future student performance based on engagement and attendance?</w:t>
      </w:r>
    </w:p>
    <w:p>
      <w:pPr>
        <w:spacing w:after="160" w:line="300"/>
      </w:pPr>
      <w:r>
        <w:rPr>
          <w:b/>
          <w:bCs/>
          <w:sz w:val="22"/>
          <w:szCs w:val="22"/>
        </w:rPr>
        <w:t xml:space="preserve">Finding: </w:t>
      </w:r>
      <w:r>
        <w:rPr>
          <w:sz w:val="22"/>
          <w:szCs w:val="22"/>
        </w:rPr>
        <w:t xml:space="preserve">The Key Influencer analysis confirms that attendance, participation, and parent satisfaction reliably separate High performers from Low performers in the current data, with attendance alone producing a 22.56x effect.</w:t>
      </w:r>
    </w:p>
    <w:p>
      <w:pPr>
        <w:spacing w:after="160" w:line="300"/>
      </w:pPr>
      <w:r>
        <w:rPr>
          <w:b/>
          <w:bCs/>
          <w:sz w:val="22"/>
          <w:szCs w:val="22"/>
        </w:rPr>
        <w:t xml:space="preserve">What it means: </w:t>
      </w:r>
      <w:r>
        <w:rPr>
          <w:sz w:val="22"/>
          <w:szCs w:val="22"/>
        </w:rPr>
        <w:t xml:space="preserve">This model is strong at explaining today's students. It is not yet a forecast of where a student is headed next term. The dataset is a single snapshot, one row per student, with no record of how that student's numbers changed over time.</w:t>
      </w:r>
    </w:p>
    <w:p>
      <w:pPr>
        <w:spacing w:after="160" w:line="300"/>
      </w:pPr>
      <w:r>
        <w:rPr>
          <w:b/>
          <w:bCs/>
          <w:color w:val="C00000"/>
          <w:sz w:val="22"/>
          <w:szCs w:val="22"/>
        </w:rPr>
        <w:t xml:space="preserve">Risk: </w:t>
      </w:r>
      <w:r>
        <w:rPr>
          <w:sz w:val="22"/>
          <w:szCs w:val="22"/>
        </w:rPr>
        <w:t xml:space="preserve">Presenting this as a forecasting tool without historical data would overstate what it can do. A student's current numbers describe where they stand today. They do not reliably describe where that student will be in three months, because the model has never seen a student's numbers move over time.</w:t>
      </w:r>
    </w:p>
    <w:p>
      <w:pPr>
        <w:spacing w:after="160" w:line="300"/>
      </w:pPr>
      <w:r>
        <w:rPr>
          <w:b/>
          <w:bCs/>
          <w:color w:val="C00000"/>
          <w:sz w:val="22"/>
          <w:szCs w:val="22"/>
        </w:rPr>
        <w:t xml:space="preserve">Data pivot required: </w:t>
      </w:r>
      <w:r>
        <w:rPr>
          <w:sz w:val="22"/>
          <w:szCs w:val="22"/>
        </w:rPr>
        <w:t xml:space="preserve">To build a genuine forecasting model, the school needs the same fields, attendance, participation, and parent satisfaction, recorded per student across at least two to three prior terms, linked by a consistent student ID. This turns a single snapshot into a trend line, which is what real prediction requires.</w:t>
      </w:r>
    </w:p>
    <w:p>
      <w:pPr>
        <w:spacing w:after="160" w:line="300"/>
      </w:pPr>
      <w:r>
        <w:rPr>
          <w:b/>
          <w:bCs/>
          <w:sz w:val="22"/>
          <w:szCs w:val="22"/>
        </w:rPr>
        <w:t xml:space="preserve">Recommendation:</w:t>
      </w:r>
    </w:p>
    <w:p>
      <w:pPr>
        <w:pStyle w:val="ListParagraph"/>
        <w:numPr>
          <w:ilvl w:val="0"/>
          <w:numId w:val="1"/>
        </w:numPr>
        <w:spacing w:after="100" w:line="280"/>
      </w:pPr>
      <w:r>
        <w:rPr>
          <w:sz w:val="22"/>
          <w:szCs w:val="22"/>
        </w:rPr>
        <w:t xml:space="preserve">Deploy the current model now, but only as a risk-scoring tool: flag students whose current numbers match today's Low-performer profile.</w:t>
      </w:r>
    </w:p>
    <w:p>
      <w:pPr>
        <w:pStyle w:val="ListParagraph"/>
        <w:numPr>
          <w:ilvl w:val="0"/>
          <w:numId w:val="1"/>
        </w:numPr>
        <w:spacing w:after="100" w:line="280"/>
      </w:pPr>
      <w:r>
        <w:rPr>
          <w:sz w:val="22"/>
          <w:szCs w:val="22"/>
        </w:rPr>
        <w:t xml:space="preserve">Begin collecting the multi-term data described above starting this term, so a true forecasting model can be built within two to three terms.</w:t>
      </w:r>
    </w:p>
    <w:p>
      <w:pPr>
        <w:pStyle w:val="Heading1"/>
        <w:spacing w:after="200" w:before="400"/>
      </w:pPr>
      <w:r>
        <w:rPr>
          <w:b/>
          <w:bCs/>
          <w:color w:val="1F3864"/>
          <w:sz w:val="28"/>
          <w:szCs w:val="28"/>
        </w:rPr>
        <w:t xml:space="preserve">8. Supporting Low-Performing Students</w:t>
      </w:r>
    </w:p>
    <w:p>
      <w:pPr>
        <w:spacing w:after="160" w:line="300"/>
      </w:pPr>
      <w:r>
        <w:rPr>
          <w:sz w:val="22"/>
          <w:szCs w:val="22"/>
        </w:rPr>
        <w:t xml:space="preserve">Business question: What actionable insights can help teachers and administrators support low-performing students?</w:t>
      </w:r>
    </w:p>
    <w:p>
      <w:pPr>
        <w:spacing w:after="160" w:line="300"/>
      </w:pPr>
      <w:r>
        <w:rPr>
          <w:b/>
          <w:bCs/>
          <w:sz w:val="22"/>
          <w:szCs w:val="22"/>
        </w:rPr>
        <w:t xml:space="preserve">Finding: </w:t>
      </w:r>
      <w:r>
        <w:rPr>
          <w:sz w:val="22"/>
          <w:szCs w:val="22"/>
        </w:rPr>
        <w:t xml:space="preserve">Drilling through the data step by step: of 478 students, 189 have Above-7 absence. Of those, 99 also have Bad parent satisfaction. Of those 99, 73 are male and 26 are female. Among the female students in this group, the largest nationality clusters are Jordan (14) and Kuwait (11).</w:t>
      </w:r>
    </w:p>
    <w:p>
      <w:pPr>
        <w:spacing w:after="160" w:line="300"/>
      </w:pPr>
      <w:r>
        <w:rPr>
          <w:b/>
          <w:bCs/>
          <w:sz w:val="22"/>
          <w:szCs w:val="22"/>
        </w:rPr>
        <w:t xml:space="preserve">What it means: </w:t>
      </w:r>
      <w:r>
        <w:rPr>
          <w:sz w:val="22"/>
          <w:szCs w:val="22"/>
        </w:rPr>
        <w:t xml:space="preserve">This is not a theoretical risk category. It is a specific, nameable list of 99 students that already exists in the school's records today. Every recommendation elsewhere in this report ultimately points back to this group.</w:t>
      </w:r>
    </w:p>
    <w:p>
      <w:pPr>
        <w:spacing w:after="160" w:line="300"/>
      </w:pPr>
      <w:r>
        <w:rPr>
          <w:b/>
          <w:bCs/>
          <w:sz w:val="22"/>
          <w:szCs w:val="22"/>
        </w:rPr>
        <w:t xml:space="preserve">Recommendation:</w:t>
      </w:r>
    </w:p>
    <w:p>
      <w:pPr>
        <w:pStyle w:val="ListParagraph"/>
        <w:numPr>
          <w:ilvl w:val="0"/>
          <w:numId w:val="1"/>
        </w:numPr>
        <w:spacing w:after="100" w:line="280"/>
      </w:pPr>
      <w:r>
        <w:rPr>
          <w:sz w:val="22"/>
          <w:szCs w:val="22"/>
        </w:rPr>
        <w:t xml:space="preserve">Pull the roster of these 99 students this week. This is an immediate, zero-cost action using data the school already has.</w:t>
      </w:r>
    </w:p>
    <w:p>
      <w:pPr>
        <w:pStyle w:val="ListParagraph"/>
        <w:numPr>
          <w:ilvl w:val="0"/>
          <w:numId w:val="1"/>
        </w:numPr>
        <w:spacing w:after="100" w:line="280"/>
      </w:pPr>
      <w:r>
        <w:rPr>
          <w:sz w:val="22"/>
          <w:szCs w:val="22"/>
        </w:rPr>
        <w:t xml:space="preserve">Assign a named case-owner, a counselor or homeroom teacher, to each student on this list, with a check-in scheduled before the next grading period.</w:t>
      </w:r>
    </w:p>
    <w:p>
      <w:pPr>
        <w:pStyle w:val="ListParagraph"/>
        <w:numPr>
          <w:ilvl w:val="0"/>
          <w:numId w:val="1"/>
        </w:numPr>
        <w:spacing w:after="100" w:line="280"/>
      </w:pPr>
      <w:r>
        <w:rPr>
          <w:sz w:val="22"/>
          <w:szCs w:val="22"/>
        </w:rPr>
        <w:t xml:space="preserve">Prioritize the 73 male students first. Gender showed up as an independent risk factor beyond just attendance and satisfaction, so this subgroup carries compounded risk.</w:t>
      </w:r>
    </w:p>
    <w:p>
      <w:pPr>
        <w:pStyle w:val="ListParagraph"/>
        <w:numPr>
          <w:ilvl w:val="0"/>
          <w:numId w:val="1"/>
        </w:numPr>
        <w:spacing w:after="100" w:line="280"/>
      </w:pPr>
      <w:r>
        <w:rPr>
          <w:sz w:val="22"/>
          <w:szCs w:val="22"/>
        </w:rPr>
        <w:t xml:space="preserve">Review the Jordan and Kuwait clusters within the female portion of this group specifically, since both nationalities also scored low in Section 3.</w:t>
      </w:r>
    </w:p>
    <w:p>
      <w:pPr>
        <w:pStyle w:val="Heading1"/>
        <w:spacing w:after="200" w:before="400"/>
      </w:pPr>
      <w:r>
        <w:rPr>
          <w:b/>
          <w:bCs/>
          <w:color w:val="1F3864"/>
          <w:sz w:val="28"/>
          <w:szCs w:val="28"/>
        </w:rPr>
        <w:t xml:space="preserve">Consolidated Recommendations by Focus Area</w:t>
      </w:r>
    </w:p>
    <w:p>
      <w:pPr>
        <w:spacing w:after="160" w:line="300"/>
      </w:pPr>
      <w:r>
        <w:rPr>
          <w:sz w:val="22"/>
          <w:szCs w:val="22"/>
        </w:rPr>
        <w:t xml:space="preserve">The findings above map directly onto the five focus areas set out for this project. Each one is repeated here as a single, direct action list.</w:t>
      </w:r>
    </w:p>
    <w:p>
      <w:pPr>
        <w:pStyle w:val="Heading2"/>
        <w:spacing w:after="140" w:before="280"/>
      </w:pPr>
      <w:r>
        <w:rPr>
          <w:b/>
          <w:bCs/>
          <w:color w:val="1F3864"/>
          <w:sz w:val="24"/>
          <w:szCs w:val="24"/>
        </w:rPr>
        <w:t xml:space="preserve">Curriculum Design</w:t>
      </w:r>
    </w:p>
    <w:p>
      <w:pPr>
        <w:pStyle w:val="ListParagraph"/>
        <w:numPr>
          <w:ilvl w:val="0"/>
          <w:numId w:val="1"/>
        </w:numPr>
        <w:spacing w:after="100" w:line="280"/>
      </w:pPr>
      <w:r>
        <w:rPr>
          <w:sz w:val="22"/>
          <w:szCs w:val="22"/>
        </w:rPr>
        <w:t xml:space="preserve">Build resource-use checkpoints into lesson plans, since Visited Resources shows the widest gap between High and Low performers of any participation metric.</w:t>
      </w:r>
    </w:p>
    <w:p>
      <w:pPr>
        <w:spacing w:after="160" w:line="300"/>
      </w:pPr>
      <w:r>
        <w:rPr>
          <w:b/>
          <w:bCs/>
          <w:color w:val="C00000"/>
          <w:sz w:val="22"/>
          <w:szCs w:val="22"/>
        </w:rPr>
        <w:t xml:space="preserve">Data pivot required: </w:t>
      </w:r>
      <w:r>
        <w:rPr>
          <w:sz w:val="22"/>
          <w:szCs w:val="22"/>
        </w:rPr>
        <w:t xml:space="preserve">The dashboard does not currently break performance down by subject (the Topic field). Add this view before finalizing curriculum changes, so fixes can target specific subjects instead of the whole curriculum.</w:t>
      </w:r>
    </w:p>
    <w:p>
      <w:pPr>
        <w:pStyle w:val="Heading2"/>
        <w:spacing w:after="140" w:before="280"/>
      </w:pPr>
      <w:r>
        <w:rPr>
          <w:b/>
          <w:bCs/>
          <w:color w:val="1F3864"/>
          <w:sz w:val="24"/>
          <w:szCs w:val="24"/>
        </w:rPr>
        <w:t xml:space="preserve">Student Support</w:t>
      </w:r>
    </w:p>
    <w:p>
      <w:pPr>
        <w:pStyle w:val="ListParagraph"/>
        <w:numPr>
          <w:ilvl w:val="0"/>
          <w:numId w:val="1"/>
        </w:numPr>
        <w:spacing w:after="100" w:line="280"/>
      </w:pPr>
      <w:r>
        <w:rPr>
          <w:sz w:val="22"/>
          <w:szCs w:val="22"/>
        </w:rPr>
        <w:t xml:space="preserve">Stand up the 99-student case management list from Section 8 immediately.</w:t>
      </w:r>
    </w:p>
    <w:p>
      <w:pPr>
        <w:pStyle w:val="ListParagraph"/>
        <w:numPr>
          <w:ilvl w:val="0"/>
          <w:numId w:val="1"/>
        </w:numPr>
        <w:spacing w:after="100" w:line="280"/>
      </w:pPr>
      <w:r>
        <w:rPr>
          <w:sz w:val="22"/>
          <w:szCs w:val="22"/>
        </w:rPr>
        <w:t xml:space="preserve">Prioritize the 73 male students within that group first.</w:t>
      </w:r>
    </w:p>
    <w:p>
      <w:pPr>
        <w:pStyle w:val="Heading2"/>
        <w:spacing w:after="140" w:before="280"/>
      </w:pPr>
      <w:r>
        <w:rPr>
          <w:b/>
          <w:bCs/>
          <w:color w:val="1F3864"/>
          <w:sz w:val="24"/>
          <w:szCs w:val="24"/>
        </w:rPr>
        <w:t xml:space="preserve">Parental Engagement</w:t>
      </w:r>
    </w:p>
    <w:p>
      <w:pPr>
        <w:pStyle w:val="ListParagraph"/>
        <w:numPr>
          <w:ilvl w:val="0"/>
          <w:numId w:val="1"/>
        </w:numPr>
        <w:spacing w:after="100" w:line="280"/>
      </w:pPr>
      <w:r>
        <w:rPr>
          <w:sz w:val="22"/>
          <w:szCs w:val="22"/>
        </w:rPr>
        <w:t xml:space="preserve">Launch structured outreach for all "Bad" satisfaction parents, starting with the 99-student overlap group.</w:t>
      </w:r>
    </w:p>
    <w:p>
      <w:pPr>
        <w:pStyle w:val="Heading2"/>
        <w:spacing w:after="140" w:before="280"/>
      </w:pPr>
      <w:r>
        <w:rPr>
          <w:b/>
          <w:bCs/>
          <w:color w:val="1F3864"/>
          <w:sz w:val="24"/>
          <w:szCs w:val="24"/>
        </w:rPr>
        <w:t xml:space="preserve">Policy Development</w:t>
      </w:r>
    </w:p>
    <w:p>
      <w:pPr>
        <w:pStyle w:val="ListParagraph"/>
        <w:numPr>
          <w:ilvl w:val="0"/>
          <w:numId w:val="1"/>
        </w:numPr>
        <w:spacing w:after="100" w:line="280"/>
      </w:pPr>
      <w:r>
        <w:rPr>
          <w:sz w:val="22"/>
          <w:szCs w:val="22"/>
        </w:rPr>
        <w:t xml:space="preserve">Formalize an Above-7 absence trigger as official school policy. This is the strongest single predictor in the data and should be the first rule any early-warning system checks.</w:t>
      </w:r>
    </w:p>
    <w:p>
      <w:pPr>
        <w:pStyle w:val="Heading2"/>
        <w:spacing w:after="140" w:before="280"/>
      </w:pPr>
      <w:r>
        <w:rPr>
          <w:b/>
          <w:bCs/>
          <w:color w:val="1F3864"/>
          <w:sz w:val="24"/>
          <w:szCs w:val="24"/>
        </w:rPr>
        <w:t xml:space="preserve">Learning Analytics</w:t>
      </w:r>
    </w:p>
    <w:p>
      <w:pPr>
        <w:pStyle w:val="ListParagraph"/>
        <w:numPr>
          <w:ilvl w:val="0"/>
          <w:numId w:val="1"/>
        </w:numPr>
        <w:spacing w:after="100" w:line="280"/>
      </w:pPr>
      <w:r>
        <w:rPr>
          <w:sz w:val="22"/>
          <w:szCs w:val="22"/>
        </w:rPr>
        <w:t xml:space="preserve">Begin collecting multi-term historical data now, as described in Section 7, to move from today's correlational dashboard to a genuine early-warning forecasting system.</w:t>
      </w:r>
    </w:p>
    <w:p>
      <w:pPr>
        <w:pStyle w:val="Heading1"/>
        <w:spacing w:after="200" w:before="400"/>
      </w:pPr>
      <w:r>
        <w:rPr>
          <w:b/>
          <w:bCs/>
          <w:color w:val="1F3864"/>
          <w:sz w:val="28"/>
          <w:szCs w:val="28"/>
        </w:rPr>
        <w:t xml:space="preserve">Data Gaps and Required Next Steps</w:t>
      </w:r>
    </w:p>
    <w:p>
      <w:pPr>
        <w:spacing w:after="160" w:line="300"/>
      </w:pPr>
      <w:r>
        <w:rPr>
          <w:sz w:val="22"/>
          <w:szCs w:val="22"/>
        </w:rPr>
        <w:t xml:space="preserve">Four gaps limit what this analysis can currently prove. Each is listed with the specific risk of ignoring it and the specific data needed to close it.</w:t>
      </w:r>
    </w:p>
    <w:p>
      <w:pPr>
        <w:spacing w:after="160" w:line="300"/>
      </w:pPr>
      <w:r>
        <w:rPr>
          <w:b/>
          <w:bCs/>
          <w:sz w:val="22"/>
          <w:szCs w:val="22"/>
        </w:rPr>
        <w:t xml:space="preserve">1. No multi-term history. </w:t>
      </w:r>
      <w:r>
        <w:rPr>
          <w:sz w:val="22"/>
          <w:szCs w:val="22"/>
        </w:rPr>
        <w:t xml:space="preserve">Risk: cannot forecast a student's trajectory, only describe their current standing. </w:t>
      </w:r>
      <w:r>
        <w:rPr>
          <w:b/>
          <w:bCs/>
          <w:sz w:val="22"/>
          <w:szCs w:val="22"/>
        </w:rPr>
        <w:t xml:space="preserve">Pivot: </w:t>
      </w:r>
      <w:r>
        <w:rPr>
          <w:sz w:val="22"/>
          <w:szCs w:val="22"/>
        </w:rPr>
        <w:t xml:space="preserve">collect attendance, participation, and satisfaction per student across 2-3 prior terms with a linked student ID.</w:t>
      </w:r>
    </w:p>
    <w:p>
      <w:pPr>
        <w:spacing w:after="160" w:line="300"/>
      </w:pPr>
      <w:r>
        <w:rPr>
          <w:b/>
          <w:bCs/>
          <w:sz w:val="22"/>
          <w:szCs w:val="22"/>
        </w:rPr>
        <w:t xml:space="preserve">2. No subject-level (Topic) breakdown. </w:t>
      </w:r>
      <w:r>
        <w:rPr>
          <w:sz w:val="22"/>
          <w:szCs w:val="22"/>
        </w:rPr>
        <w:t xml:space="preserve">Risk: curriculum recommendations stay generic instead of targeting the subjects that need it most. </w:t>
      </w:r>
      <w:r>
        <w:rPr>
          <w:b/>
          <w:bCs/>
          <w:sz w:val="22"/>
          <w:szCs w:val="22"/>
        </w:rPr>
        <w:t xml:space="preserve">Pivot: </w:t>
      </w:r>
      <w:r>
        <w:rPr>
          <w:sz w:val="22"/>
          <w:szCs w:val="22"/>
        </w:rPr>
        <w:t xml:space="preserve">rebuild the participation and performance views segmented by Topic.</w:t>
      </w:r>
    </w:p>
    <w:p>
      <w:pPr>
        <w:spacing w:after="160" w:line="300"/>
      </w:pPr>
      <w:r>
        <w:rPr>
          <w:b/>
          <w:bCs/>
          <w:sz w:val="22"/>
          <w:szCs w:val="22"/>
        </w:rPr>
        <w:t xml:space="preserve">3. No section or teacher-level data behind the Grade-level swings. </w:t>
      </w:r>
      <w:r>
        <w:rPr>
          <w:sz w:val="22"/>
          <w:szCs w:val="22"/>
        </w:rPr>
        <w:t xml:space="preserve">Risk: the school could act on a grade-wide policy to fix what is actually a single classroom's issue. </w:t>
      </w:r>
      <w:r>
        <w:rPr>
          <w:b/>
          <w:bCs/>
          <w:sz w:val="22"/>
          <w:szCs w:val="22"/>
        </w:rPr>
        <w:t xml:space="preserve">Pivot: </w:t>
      </w:r>
      <w:r>
        <w:rPr>
          <w:sz w:val="22"/>
          <w:szCs w:val="22"/>
        </w:rPr>
        <w:t xml:space="preserve">pull SectionID and teacher assignment for G-10 and G-11 and compare at the class level.</w:t>
      </w:r>
    </w:p>
    <w:p>
      <w:pPr>
        <w:spacing w:after="160" w:line="300"/>
      </w:pPr>
      <w:r>
        <w:rPr>
          <w:b/>
          <w:bCs/>
          <w:sz w:val="22"/>
          <w:szCs w:val="22"/>
        </w:rPr>
        <w:t xml:space="preserve">4. Small sample sizes remain in some nationality groups. </w:t>
      </w:r>
      <w:r>
        <w:rPr>
          <w:sz w:val="22"/>
          <w:szCs w:val="22"/>
        </w:rPr>
        <w:t xml:space="preserve">Risk: percentages for Syria, Tunisia, Egypt, and Kuwait can shift sharply as a handful of students change. </w:t>
      </w:r>
      <w:r>
        <w:rPr>
          <w:b/>
          <w:bCs/>
          <w:sz w:val="22"/>
          <w:szCs w:val="22"/>
        </w:rPr>
        <w:t xml:space="preserve">Pivot: </w:t>
      </w:r>
      <w:r>
        <w:rPr>
          <w:sz w:val="22"/>
          <w:szCs w:val="22"/>
        </w:rPr>
        <w:t xml:space="preserve">re-check these figures each term as enrollment grows, and treat them as directional until sample sizes pass roughly 15-20 students.</w:t>
      </w:r>
    </w:p>
    <w:p>
      <w:pPr>
        <w:pStyle w:val="Heading1"/>
        <w:spacing w:after="200" w:before="400"/>
      </w:pPr>
      <w:r>
        <w:rPr>
          <w:b/>
          <w:bCs/>
          <w:color w:val="1F3864"/>
          <w:sz w:val="28"/>
          <w:szCs w:val="28"/>
        </w:rPr>
        <w:t xml:space="preserve">Closing Statement</w:t>
      </w:r>
    </w:p>
    <w:p>
      <w:pPr>
        <w:spacing w:after="160" w:line="300"/>
      </w:pPr>
      <w:r>
        <w:rPr>
          <w:sz w:val="22"/>
          <w:szCs w:val="22"/>
        </w:rPr>
        <w:t xml:space="preserve">This school's data points to one clear starting move: attendance. It is the strongest, cleanest, most actionable signal in the entire dataset, and it is already trackable today. Parent satisfaction is the second lever, and it is just as actionable. Together, these two factors identify a specific 99-student group that needs attention now, not next term.</w:t>
      </w:r>
    </w:p>
    <w:p>
      <w:pPr>
        <w:spacing w:after="160" w:line="300"/>
      </w:pPr>
      <w:r>
        <w:rPr>
          <w:sz w:val="22"/>
          <w:szCs w:val="22"/>
        </w:rPr>
        <w:t xml:space="preserve">Everything else in this report, gender, nationality, stage, grade, sharpens the picture. But the two moves that will show results fastest are fixing attendance and re-engaging the parents already flagged as unsatisfied. Start there.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2026-07-12T20:15:50.716Z</dcterms:created>
  <dcterms:modified xsi:type="dcterms:W3CDTF">2026-07-12T20:15:50.728Z</dcterms:modified>
</cp:coreProperties>
</file>

<file path=docProps/custom.xml><?xml version="1.0" encoding="utf-8"?>
<Properties xmlns="http://schemas.openxmlformats.org/officeDocument/2006/custom-properties" xmlns:vt="http://schemas.openxmlformats.org/officeDocument/2006/docPropsVTypes"/>
</file>