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Балакирева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НПМбд-01-19б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адмирирования в OC Linux и ознакомиться с технологией SELinux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SELinux, или Security Enhanced Linux, — это продвинутый механизм управления доступом, разработанный Агентством национальной безопасности (АНБ) США для предотвращения злонамеренных вторжений. Он реализует мандатную модель управления доступом (MAC — Mandatory Access control) в дополнение к уже существующей в Linux дискреционной модели (DAC — Discretionary Access Control), то есть разрешениям на чтение, запись, выполнение.</w:t>
      </w:r>
    </w:p>
    <w:p>
      <w:pPr>
        <w:pStyle w:val="BodyText"/>
      </w:pPr>
      <w:r>
        <w:t xml:space="preserve">У SELinux есть три режима работы:</w:t>
      </w:r>
    </w:p>
    <w:p>
      <w:pPr>
        <w:numPr>
          <w:ilvl w:val="0"/>
          <w:numId w:val="1001"/>
        </w:numPr>
        <w:pStyle w:val="Compact"/>
      </w:pPr>
      <w:r>
        <w:t xml:space="preserve">Enforcing — ограничение доступа в соответствии с политикой. Запрещено все, что не разрешено в явном виде. Режим по умолчанию.</w:t>
      </w:r>
    </w:p>
    <w:p>
      <w:pPr>
        <w:numPr>
          <w:ilvl w:val="0"/>
          <w:numId w:val="1001"/>
        </w:numPr>
        <w:pStyle w:val="Compact"/>
      </w:pPr>
      <w:r>
        <w:t xml:space="preserve">Permissive — ведёт лог действий, нарушающих политику, которые в режиме enforcing были бы запрещены, но не запрещает сами действия.</w:t>
      </w:r>
    </w:p>
    <w:p>
      <w:pPr>
        <w:numPr>
          <w:ilvl w:val="0"/>
          <w:numId w:val="1001"/>
        </w:numPr>
        <w:pStyle w:val="Compact"/>
      </w:pPr>
      <w:r>
        <w:t xml:space="preserve">Disabled — полное отключение SELinux.</w:t>
      </w:r>
    </w:p>
    <w:p>
      <w:pPr>
        <w:pStyle w:val="FirstParagraph"/>
      </w:pPr>
      <w:r>
        <w:t xml:space="preserve">В основе структуры безопасности SELinux лежат политики. Политика — это набор правил, определяющих ограничения и права доступа для всего, что есть в системе. Под</w:t>
      </w:r>
      <w:r>
        <w:t xml:space="preserve"> </w:t>
      </w:r>
      <w:r>
        <w:t xml:space="preserve">“</w:t>
      </w:r>
      <w:r>
        <w:t xml:space="preserve">всем</w:t>
      </w:r>
      <w:r>
        <w:t xml:space="preserve">”</w:t>
      </w:r>
      <w:r>
        <w:t xml:space="preserve"> </w:t>
      </w:r>
      <w:r>
        <w:t xml:space="preserve">в данном случае понимаются пользователи, роли, процессы и файлы. Политика определяет связь этих категорий друг с другом. |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Несмотря на то, что Apache чаще всего называют сервером (более того, его официальное название — Apache HTTP Server) — это всё-таки программа, которую устанавливают на сервер, чтобы добиться определённых результатов.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  <w:pStyle w:val="Compact"/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  <w:pStyle w:val="Compact"/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  <w:pStyle w:val="Compact"/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  <w:pStyle w:val="Compact"/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gnu-doc-1:bash?</w:t>
      </w:r>
      <w:r>
        <w:t xml:space="preserve">]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 помощью команды getenforce убеждаемся, что SELinux работает в режиме enforcing, а с помощью команды sestatus устанавливаем политику targeted (рис. 1).</w:t>
      </w:r>
    </w:p>
    <w:p>
      <w:pPr>
        <w:pStyle w:val="CaptionedFigure"/>
      </w:pPr>
      <w:bookmarkStart w:id="25" w:name="fig:001"/>
      <w:r>
        <w:drawing>
          <wp:inline>
            <wp:extent cx="5181600" cy="3076575"/>
            <wp:effectExtent b="0" l="0" r="0" t="0"/>
            <wp:docPr descr="Рис. 1: getenforce и sestatu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getenforce и sestatus</w:t>
      </w:r>
    </w:p>
    <w:p>
      <w:pPr>
        <w:pStyle w:val="BodyText"/>
      </w:pPr>
      <w:r>
        <w:t xml:space="preserve">Убеждаемся, что сервер работает с помощью команды service httpd status (рис. 2).</w:t>
      </w:r>
    </w:p>
    <w:p>
      <w:pPr>
        <w:pStyle w:val="CaptionedFigure"/>
      </w:pPr>
      <w:bookmarkStart w:id="29" w:name="fig:002"/>
      <w:r>
        <w:drawing>
          <wp:inline>
            <wp:extent cx="5334000" cy="2709221"/>
            <wp:effectExtent b="0" l="0" r="0" t="0"/>
            <wp:docPr descr="Рис. 2: Работающий сервер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Работающий сервер</w:t>
      </w:r>
    </w:p>
    <w:p>
      <w:pPr>
        <w:pStyle w:val="BodyText"/>
      </w:pPr>
      <w:r>
        <w:t xml:space="preserve">С помощью команды ps -eZ находим, что контекст безопасности Apache — httpd_t (рис. 3).</w:t>
      </w:r>
    </w:p>
    <w:p>
      <w:pPr>
        <w:pStyle w:val="CaptionedFigure"/>
      </w:pPr>
      <w:bookmarkStart w:id="33" w:name="fig:003"/>
      <w:r>
        <w:drawing>
          <wp:inline>
            <wp:extent cx="5334000" cy="865735"/>
            <wp:effectExtent b="0" l="0" r="0" t="0"/>
            <wp:docPr descr="Рис. 3: 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Контекст безопасности Apache</w:t>
      </w:r>
    </w:p>
    <w:p>
      <w:pPr>
        <w:pStyle w:val="BodyText"/>
      </w:pPr>
      <w:r>
        <w:t xml:space="preserve">Смотрим текущее состояние переключателей командой sestatus -b httpd (рис. 4).</w:t>
      </w:r>
    </w:p>
    <w:p>
      <w:pPr>
        <w:pStyle w:val="CaptionedFigure"/>
      </w:pPr>
      <w:bookmarkStart w:id="37" w:name="fig:004"/>
      <w:r>
        <w:drawing>
          <wp:inline>
            <wp:extent cx="5334000" cy="4419600"/>
            <wp:effectExtent b="0" l="0" r="0" t="0"/>
            <wp:docPr descr="Рис. 4: Состояние переключателе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Состояние переключателей</w:t>
      </w:r>
    </w:p>
    <w:p>
      <w:pPr>
        <w:pStyle w:val="BodyText"/>
      </w:pPr>
      <w:r>
        <w:t xml:space="preserve">Смотрим статистику по политике командой seinfo. Узнаём, что множество пользователей — 8, ролей — 14, типов — 4982 (рис. 5).</w:t>
      </w:r>
    </w:p>
    <w:p>
      <w:pPr>
        <w:pStyle w:val="CaptionedFigure"/>
      </w:pPr>
      <w:bookmarkStart w:id="41" w:name="fig:005"/>
      <w:r>
        <w:drawing>
          <wp:inline>
            <wp:extent cx="5334000" cy="4007090"/>
            <wp:effectExtent b="0" l="0" r="0" t="0"/>
            <wp:docPr descr="Рис. 5: Статистика seinfo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Статистика seinfo</w:t>
      </w:r>
    </w:p>
    <w:p>
      <w:pPr>
        <w:pStyle w:val="BodyText"/>
      </w:pPr>
      <w:r>
        <w:t xml:space="preserve">Определяем тип файлов и круг пользователей с правой на создание и поддиректорий в директориях /var/www и /var/www/html командой ls -lZ (рис. 6).</w:t>
      </w:r>
    </w:p>
    <w:p>
      <w:pPr>
        <w:pStyle w:val="CaptionedFigure"/>
      </w:pPr>
      <w:bookmarkStart w:id="45" w:name="fig:006"/>
      <w:r>
        <w:drawing>
          <wp:inline>
            <wp:extent cx="5334000" cy="2011180"/>
            <wp:effectExtent b="0" l="0" r="0" t="0"/>
            <wp:docPr descr="Рис. 6: Данные директорий /var/www и /var/www/html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Данные директорий /var/www и /var/www/html</w:t>
      </w:r>
    </w:p>
    <w:p>
      <w:pPr>
        <w:pStyle w:val="BodyText"/>
      </w:pPr>
      <w:r>
        <w:t xml:space="preserve">От имени суперпользователя создаём файл /var/www/html/test.html (рис. 7).</w:t>
      </w:r>
    </w:p>
    <w:p>
      <w:pPr>
        <w:pStyle w:val="CaptionedFigure"/>
      </w:pPr>
      <w:bookmarkStart w:id="49" w:name="fig:007"/>
      <w:r>
        <w:drawing>
          <wp:inline>
            <wp:extent cx="4943475" cy="1428750"/>
            <wp:effectExtent b="0" l="0" r="0" t="0"/>
            <wp:docPr descr="Рис. 7: Файл test.html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Файл test.html</w:t>
      </w:r>
    </w:p>
    <w:p>
      <w:pPr>
        <w:pStyle w:val="BodyText"/>
      </w:pPr>
      <w:r>
        <w:t xml:space="preserve">Командой matchpathcon узнаём контекст файла test.html и директории /var/www/html — это httpd_sys_content_t (риc. [-#fig:008]).</w:t>
      </w:r>
    </w:p>
    <w:p>
      <w:pPr>
        <w:pStyle w:val="CaptionedFigure"/>
      </w:pPr>
      <w:bookmarkStart w:id="53" w:name="fig:008"/>
      <w:r>
        <w:drawing>
          <wp:inline>
            <wp:extent cx="5334000" cy="1138252"/>
            <wp:effectExtent b="0" l="0" r="0" t="0"/>
            <wp:docPr descr="Рис. 8: Констекст файла test.html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Констекст файла test.html</w:t>
      </w:r>
    </w:p>
    <w:p>
      <w:pPr>
        <w:pStyle w:val="BodyText"/>
      </w:pPr>
      <w:r>
        <w:t xml:space="preserve">Обращаемся к файлу через ссылку в веб-браузере. Контент отображён корректно (рис. 9).</w:t>
      </w:r>
    </w:p>
    <w:p>
      <w:pPr>
        <w:pStyle w:val="CaptionedFigure"/>
      </w:pPr>
      <w:bookmarkStart w:id="57" w:name="fig:009"/>
      <w:r>
        <w:drawing>
          <wp:inline>
            <wp:extent cx="5038725" cy="2209800"/>
            <wp:effectExtent b="0" l="0" r="0" t="0"/>
            <wp:docPr descr="Рис. 9: Просмотр файла в веб-браузере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Просмотр файла в веб-браузере</w:t>
      </w:r>
    </w:p>
    <w:p>
      <w:pPr>
        <w:pStyle w:val="BodyText"/>
      </w:pPr>
      <w:r>
        <w:t xml:space="preserve">Изучая справку man httpd_selunix узнаём, что для httpd определены следующие контексты: httpd_sys_content_t, httpd_sys_script_exec_t, httpd_sys_script_ro_t, httpd_sys_script_rw_t, httpd_sys_script_ra_t, httpd_unconfined_script_exec_t. Меняем контекст файла test.html командой chcon -t (рис. 10).</w:t>
      </w:r>
    </w:p>
    <w:p>
      <w:pPr>
        <w:pStyle w:val="CaptionedFigure"/>
      </w:pPr>
      <w:bookmarkStart w:id="61" w:name="fig:010"/>
      <w:r>
        <w:drawing>
          <wp:inline>
            <wp:extent cx="5334000" cy="930794"/>
            <wp:effectExtent b="0" l="0" r="0" t="0"/>
            <wp:docPr descr="Рис. 10: Смена контекст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Смена контекста</w:t>
      </w:r>
    </w:p>
    <w:p>
      <w:pPr>
        <w:pStyle w:val="BodyText"/>
      </w:pPr>
      <w:r>
        <w:t xml:space="preserve">При повторной попытке открыть файл через веб-браузер получаем ошибку доступа (рис. 11).</w:t>
      </w:r>
    </w:p>
    <w:p>
      <w:pPr>
        <w:pStyle w:val="CaptionedFigure"/>
      </w:pPr>
      <w:bookmarkStart w:id="65" w:name="fig:011"/>
      <w:r>
        <w:drawing>
          <wp:inline>
            <wp:extent cx="5133975" cy="3067050"/>
            <wp:effectExtent b="0" l="0" r="0" t="0"/>
            <wp:docPr descr="Рис. 11: Ошибка доступа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Ошибка доступа</w:t>
      </w:r>
    </w:p>
    <w:p>
      <w:pPr>
        <w:pStyle w:val="BodyText"/>
      </w:pPr>
      <w:r>
        <w:t xml:space="preserve">Убеждаемся, что файл доступен для чтения всем пользователям командой ls -l. Далее смотрим log-файлы веб-сервера Apache командой tail, где показаны ошибки (рис. 12).</w:t>
      </w:r>
    </w:p>
    <w:p>
      <w:pPr>
        <w:pStyle w:val="CaptionedFigure"/>
      </w:pPr>
      <w:bookmarkStart w:id="69" w:name="fig:012"/>
      <w:r>
        <w:drawing>
          <wp:inline>
            <wp:extent cx="5334000" cy="3594810"/>
            <wp:effectExtent b="0" l="0" r="0" t="0"/>
            <wp:docPr descr="Рис. 12: Ошибки в log-файлах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Ошибки в log-файлах</w:t>
      </w:r>
    </w:p>
    <w:p>
      <w:pPr>
        <w:pStyle w:val="BodyText"/>
      </w:pPr>
      <w:r>
        <w:t xml:space="preserve">Устанавливаем веб-сервер Apache на прослушивание TCP-порта 81, изменяя строку Listen в файле /etc/httpd/conf/httpd.conf (рис. 13).</w:t>
      </w:r>
    </w:p>
    <w:p>
      <w:pPr>
        <w:pStyle w:val="CaptionedFigure"/>
      </w:pPr>
      <w:bookmarkStart w:id="73" w:name="fig:013"/>
      <w:r>
        <w:drawing>
          <wp:inline>
            <wp:extent cx="5334000" cy="3534491"/>
            <wp:effectExtent b="0" l="0" r="0" t="0"/>
            <wp:docPr descr="Рис. 13: Прослушивание 81 порт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Прослушивание 81 порта</w:t>
      </w:r>
    </w:p>
    <w:p>
      <w:pPr>
        <w:pStyle w:val="BodyText"/>
      </w:pPr>
      <w:r>
        <w:t xml:space="preserve">Перезапускаем сервер и смотри данные log-файлов веб-сервера Apache (рис. 14).</w:t>
      </w:r>
    </w:p>
    <w:p>
      <w:pPr>
        <w:pStyle w:val="CaptionedFigure"/>
      </w:pPr>
      <w:bookmarkStart w:id="77" w:name="fig:014"/>
      <w:r>
        <w:drawing>
          <wp:inline>
            <wp:extent cx="5334000" cy="788312"/>
            <wp:effectExtent b="0" l="0" r="0" t="0"/>
            <wp:docPr descr="Рис. 14: Перезапуск сервер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Перезапуск сервера</w:t>
      </w:r>
    </w:p>
    <w:p>
      <w:pPr>
        <w:pStyle w:val="BodyText"/>
      </w:pPr>
      <w:r>
        <w:t xml:space="preserve">Устанавлием для веб-сервера Apache порт TCP-81 и проверяем его наличие в списке портов командой semanage (рис. 15).</w:t>
      </w:r>
    </w:p>
    <w:p>
      <w:pPr>
        <w:pStyle w:val="CaptionedFigure"/>
      </w:pPr>
      <w:bookmarkStart w:id="81" w:name="fig:015"/>
      <w:r>
        <w:drawing>
          <wp:inline>
            <wp:extent cx="5334000" cy="897443"/>
            <wp:effectExtent b="0" l="0" r="0" t="0"/>
            <wp:docPr descr="Рис. 15: Установка порт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Установка порта</w:t>
      </w:r>
    </w:p>
    <w:p>
      <w:pPr>
        <w:pStyle w:val="BodyText"/>
      </w:pPr>
      <w:r>
        <w:t xml:space="preserve">Возвращаем файлу test.html контекст httpd_sys_content_t и снова успешно просматриваем страницу в веб-браузере (рис. 16).</w:t>
      </w:r>
    </w:p>
    <w:p>
      <w:pPr>
        <w:pStyle w:val="CaptionedFigure"/>
      </w:pPr>
      <w:bookmarkStart w:id="85" w:name="fig:016"/>
      <w:r>
        <w:drawing>
          <wp:inline>
            <wp:extent cx="5334000" cy="2151993"/>
            <wp:effectExtent b="0" l="0" r="0" t="0"/>
            <wp:docPr descr="Рис. 16: Повторный просмотр файла в веб-браузере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Повторный просмотр файла в веб-браузере</w:t>
      </w:r>
    </w:p>
    <w:p>
      <w:pPr>
        <w:pStyle w:val="BodyText"/>
      </w:pPr>
      <w:r>
        <w:t xml:space="preserve">Возвращаем в конфигурационный файл прослушивание порта 80 и удаляем порт 81 из списка портов (рис. 17).</w:t>
      </w:r>
    </w:p>
    <w:p>
      <w:pPr>
        <w:pStyle w:val="CaptionedFigure"/>
      </w:pPr>
      <w:bookmarkStart w:id="89" w:name="fig:017"/>
      <w:r>
        <w:drawing>
          <wp:inline>
            <wp:extent cx="5334000" cy="1577763"/>
            <wp:effectExtent b="0" l="0" r="0" t="0"/>
            <wp:docPr descr="Рис. 17: Удаление порта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Удаление порта</w:t>
      </w:r>
    </w:p>
    <w:p>
      <w:pPr>
        <w:pStyle w:val="BodyText"/>
      </w:pPr>
      <w:r>
        <w:t xml:space="preserve">Удаляем файл test.html (рис. 18).</w:t>
      </w:r>
    </w:p>
    <w:p>
      <w:pPr>
        <w:pStyle w:val="CaptionedFigure"/>
      </w:pPr>
      <w:bookmarkStart w:id="93" w:name="fig:018"/>
      <w:r>
        <w:drawing>
          <wp:inline>
            <wp:extent cx="4848225" cy="809625"/>
            <wp:effectExtent b="0" l="0" r="0" t="0"/>
            <wp:docPr descr="Рис. 18: Удаление файла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Удаление файла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основные навыки администрирования в OC Linux и проверила работу SELinux на практике совместно с веб-сервером Apache.</w:t>
      </w:r>
    </w:p>
    <w:bookmarkEnd w:id="95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9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Балакирева Дарья Сергеевна, НПМбд-01-19б</dc:creator>
  <dc:language>ru-RU</dc:language>
  <cp:keywords/>
  <dcterms:created xsi:type="dcterms:W3CDTF">2022-10-14T06:40:00Z</dcterms:created>
  <dcterms:modified xsi:type="dcterms:W3CDTF">2022-10-14T06:40:00Z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