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НПМбд-01-19б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однократного гаммирования при работе с различными текстами на одном ключе.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Cоздаём функцию, которая осуществляет однократное гаммирование посредством побитового XOR (рис. 1)</w:t>
      </w:r>
    </w:p>
    <w:p>
      <w:pPr>
        <w:pStyle w:val="CaptionedFigure"/>
      </w:pPr>
      <w:bookmarkStart w:id="25" w:name="fig:001"/>
      <w:r>
        <w:drawing>
          <wp:inline>
            <wp:extent cx="5334000" cy="1303291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Задаём две равные по длине текстовые строки и создаём случайный символьный ключ такой же длины (рис. 2)</w:t>
      </w:r>
    </w:p>
    <w:p>
      <w:pPr>
        <w:pStyle w:val="CaptionedFigure"/>
      </w:pPr>
      <w:bookmarkStart w:id="29" w:name="fig:002"/>
      <w:r>
        <w:drawing>
          <wp:inline>
            <wp:extent cx="5334000" cy="2404213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Осуществляем шифрование двух текстов по ключу с помощью написанной функции (рис. 3)</w:t>
      </w:r>
    </w:p>
    <w:p>
      <w:pPr>
        <w:pStyle w:val="CaptionedFigure"/>
      </w:pPr>
      <w:bookmarkStart w:id="33" w:name="fig:003"/>
      <w:r>
        <w:drawing>
          <wp:inline>
            <wp:extent cx="5334000" cy="1478507"/>
            <wp:effectExtent b="0" l="0" r="0" t="0"/>
            <wp:docPr descr="Рис. 3: Шифрование данных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Шифрование данных</w:t>
      </w:r>
    </w:p>
    <w:p>
      <w:pPr>
        <w:pStyle w:val="BodyText"/>
      </w:pPr>
      <w:r>
        <w:t xml:space="preserve">Создаём переменную, которая, прогнав два шифрованных текста через побитовый XOR, поможет злоумышленнику</w:t>
      </w:r>
      <w:r>
        <w:t xml:space="preserve"> </w:t>
      </w:r>
      <w:r>
        <w:t xml:space="preserve">получить один текст, зная другой, без ключа (рис. 4)</w:t>
      </w:r>
    </w:p>
    <w:p>
      <w:pPr>
        <w:pStyle w:val="CaptionedFigure"/>
      </w:pPr>
      <w:bookmarkStart w:id="37" w:name="fig:004"/>
      <w:r>
        <w:drawing>
          <wp:inline>
            <wp:extent cx="5334000" cy="2119775"/>
            <wp:effectExtent b="0" l="0" r="0" t="0"/>
            <wp:docPr descr="Рис. 4: Получение данных без ключ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Получение данных без ключа</w:t>
      </w:r>
    </w:p>
    <w:p>
      <w:pPr>
        <w:pStyle w:val="BodyText"/>
      </w:pPr>
      <w:r>
        <w:t xml:space="preserve">Таким же способом можно получить часть данных (рис. 5)</w:t>
      </w:r>
    </w:p>
    <w:p>
      <w:pPr>
        <w:pStyle w:val="CaptionedFigure"/>
      </w:pPr>
      <w:bookmarkStart w:id="41" w:name="fig:005"/>
      <w:r>
        <w:drawing>
          <wp:inline>
            <wp:extent cx="5334000" cy="2119775"/>
            <wp:effectExtent b="0" l="0" r="0" t="0"/>
            <wp:docPr descr="Рис. 5: Получение части данных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Получение части данных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при работе с несколькими текстами.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Балакирева Дарья Сергеевна, НПМбд-01-19б</dc:creator>
  <dc:language>ru-RU</dc:language>
  <cp:keywords/>
  <dcterms:created xsi:type="dcterms:W3CDTF">2022-10-19T15:41:26Z</dcterms:created>
  <dcterms:modified xsi:type="dcterms:W3CDTF">2022-10-19T15:41:26Z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