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drawing>
          <wp:inline xmlns:a="http://schemas.openxmlformats.org/drawingml/2006/main" xmlns:pic="http://schemas.openxmlformats.org/drawingml/2006/picture">
            <wp:extent cx="1655999" cy="562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is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62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Exo 2" w:hAnsi="Exo 2"/>
          <w:b/>
          <w:color w:val="383F45"/>
          <w:sz w:val="46"/>
        </w:rPr>
        <w:t>Конкурентный обзор: вебинары</w:t>
      </w:r>
    </w:p>
    <w:p>
      <w:pPr>
        <w:spacing w:after="40"/>
      </w:pPr>
      <w:r>
        <w:rPr>
          <w:rFonts w:ascii="Exo 2" w:hAnsi="Exo 2"/>
          <w:color w:val="7D98AB"/>
          <w:sz w:val="26"/>
        </w:rPr>
        <w:t>Кто и как проводит вебинары на рынке систем безопасности · 2026</w:t>
      </w:r>
    </w:p>
    <w:p>
      <w:pPr>
        <w:spacing w:after="200"/>
      </w:pPr>
      <w:r>
        <w:rPr>
          <w:i/>
          <w:color w:val="606A72"/>
          <w:sz w:val="19"/>
        </w:rPr>
        <w:t>Подготовлено для LUIS+ · июль 2026 · инвентаризация конкурентов и лидеров рынка</w:t>
      </w:r>
    </w:p>
    <w:p>
      <w:pPr>
        <w:spacing w:after="120"/>
      </w:pPr>
      <w:r>
        <w:rPr>
          <w:rFonts w:ascii="Calibri" w:hAnsi="Calibri"/>
          <w:b w:val="0"/>
          <w:i w:val="0"/>
          <w:color w:val="606A72"/>
          <w:sz w:val="20"/>
        </w:rPr>
        <w:t>Обзор отвечает на три вопроса: кто на рынке систем безопасности реально делает вебинары и кто в этом лидер; из чего состоит вебинар-продукт каждого игрока; что уже прошло и что предстоит в 2026 году. Ссылки на страницы программ — кликабельны.</w:t>
      </w:r>
    </w:p>
    <w:p>
      <w:pPr>
        <w:spacing w:before="300" w:after="100"/>
        <w:pBdr>
          <w:bottom w:val="single" w:sz="6" w:space="4" w:color="383F45"/>
        </w:pBdr>
      </w:pPr>
      <w:r>
        <w:rPr>
          <w:rFonts w:ascii="Exo 2" w:hAnsi="Exo 2"/>
          <w:b/>
          <w:color w:val="383F45"/>
          <w:sz w:val="30"/>
        </w:rPr>
        <w:t>1. Выводы: лидеры рынка по вебинарам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3"/>
          <w:left w:val="single" w:sz="4" w:space="0" w:color="D8DEE3"/>
          <w:bottom w:val="single" w:sz="4" w:space="0" w:color="D8DEE3"/>
          <w:right w:val="single" w:sz="4" w:space="0" w:color="D8DEE3"/>
          <w:insideH w:val="single" w:sz="4" w:space="0" w:color="D8DEE3"/>
          <w:insideV w:val="single" w:sz="4" w:space="0" w:color="D8DEE3"/>
        </w:tblBorders>
      </w:tblPr>
      <w:tblGrid>
        <w:gridCol w:w="2521"/>
        <w:gridCol w:w="2521"/>
        <w:gridCol w:w="2521"/>
        <w:gridCol w:w="2521"/>
      </w:tblGrid>
      <w:tr>
        <w:tc>
          <w:tcPr>
            <w:tcW w:type="dxa" w:w="2016"/>
            <w:shd w:val="clear" w:color="auto" w:fill="BE173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Лидер</w:t>
            </w:r>
          </w:p>
        </w:tc>
        <w:tc>
          <w:tcPr>
            <w:tcW w:type="dxa" w:w="2808"/>
            <w:shd w:val="clear" w:color="auto" w:fill="BE173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 чём лидирует</w:t>
            </w:r>
          </w:p>
        </w:tc>
        <w:tc>
          <w:tcPr>
            <w:tcW w:type="dxa" w:w="3600"/>
            <w:shd w:val="clear" w:color="auto" w:fill="BE173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Чем берёт</w:t>
            </w:r>
          </w:p>
        </w:tc>
        <w:tc>
          <w:tcPr>
            <w:tcW w:type="dxa" w:w="1944"/>
            <w:shd w:val="clear" w:color="auto" w:fill="BE173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Страница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8"/>
              </w:rPr>
              <w:t>Secuteck (Гротек)</w:t>
            </w:r>
          </w:p>
        </w:tc>
        <w:tc>
          <w:tcPr>
            <w:tcW w:type="dxa" w:w="280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8"/>
              </w:rPr>
              <w:t>Поток отраслевых вебинаров-конференций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8"/>
              </w:rPr>
              <w:t>Несколько вебинаров в неделю, бесплатно, единая регистрация</w:t>
            </w:r>
          </w:p>
        </w:tc>
        <w:tc>
          <w:tcPr>
            <w:tcW w:type="dxa" w:w="1944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10">
              <w:r>
                <w:rPr>
                  <w:color w:val="1155CC"/>
                  <w:u w:val="single"/>
                  <w:sz w:val="18"/>
                  <w:rFonts w:ascii="Calibri" w:hAnsi="Calibri"/>
                </w:rPr>
                <w:t xml:space="preserve">www.secuteck.ru/confex</w:t>
              </w:r>
            </w:hyperlink>
          </w:p>
        </w:tc>
      </w:tr>
      <w:tr>
        <w:tc>
          <w:tcPr>
            <w:tcW w:type="dxa" w:w="201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8"/>
              </w:rPr>
              <w:t>TRASSIR (DSSL)</w:t>
            </w:r>
          </w:p>
        </w:tc>
        <w:tc>
          <w:tcPr>
            <w:tcW w:type="dxa" w:w="280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8"/>
              </w:rPr>
              <w:t>Регулярность среди вендоров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8"/>
              </w:rPr>
              <w:t>Еженедельные вебинары, упаковка под тендеры и отрасли</w:t>
            </w:r>
          </w:p>
        </w:tc>
        <w:tc>
          <w:tcPr>
            <w:tcW w:type="dxa" w:w="1944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11">
              <w:r>
                <w:rPr>
                  <w:color w:val="1155CC"/>
                  <w:u w:val="single"/>
                  <w:sz w:val="18"/>
                  <w:rFonts w:ascii="Calibri" w:hAnsi="Calibri"/>
                </w:rPr>
                <w:t xml:space="preserve">dssl.ru/info/events</w:t>
              </w:r>
            </w:hyperlink>
          </w:p>
        </w:tc>
      </w:tr>
      <w:tr>
        <w:tc>
          <w:tcPr>
            <w:tcW w:type="dxa" w:w="201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8"/>
              </w:rPr>
              <w:t>Болид</w:t>
            </w:r>
          </w:p>
        </w:tc>
        <w:tc>
          <w:tcPr>
            <w:tcW w:type="dxa" w:w="280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8"/>
              </w:rPr>
              <w:t>Массовость бесплатного обучения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8"/>
              </w:rPr>
              <w:t>Онлайн-практикумы почти ежедневно (ИСО «Орион», пусконаладка) = лояльность проектировщиков</w:t>
            </w:r>
          </w:p>
        </w:tc>
        <w:tc>
          <w:tcPr>
            <w:tcW w:type="dxa" w:w="1944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12">
              <w:r>
                <w:rPr>
                  <w:color w:val="1155CC"/>
                  <w:u w:val="single"/>
                  <w:sz w:val="18"/>
                  <w:rFonts w:ascii="Calibri" w:hAnsi="Calibri"/>
                </w:rPr>
                <w:t xml:space="preserve">bolid.ru/support/study</w:t>
              </w:r>
            </w:hyperlink>
          </w:p>
        </w:tc>
      </w:tr>
      <w:tr>
        <w:tc>
          <w:tcPr>
            <w:tcW w:type="dxa" w:w="201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8"/>
              </w:rPr>
              <w:t>Аргус-Спектр</w:t>
            </w:r>
          </w:p>
        </w:tc>
        <w:tc>
          <w:tcPr>
            <w:tcW w:type="dxa" w:w="280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8"/>
              </w:rPr>
              <w:t>Ежедневные бесплатные курсы-вебинары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8"/>
              </w:rPr>
              <w:t>«Стрелец-ПРО» и новые СП — каждый будний день</w:t>
            </w:r>
          </w:p>
        </w:tc>
        <w:tc>
          <w:tcPr>
            <w:tcW w:type="dxa" w:w="1944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13">
              <w:r>
                <w:rPr>
                  <w:color w:val="1155CC"/>
                  <w:u w:val="single"/>
                  <w:sz w:val="18"/>
                  <w:rFonts w:ascii="Calibri" w:hAnsi="Calibri"/>
                </w:rPr>
                <w:t xml:space="preserve">educ.argus-spectr.ru</w:t>
              </w:r>
            </w:hyperlink>
          </w:p>
        </w:tc>
      </w:tr>
      <w:tr>
        <w:tc>
          <w:tcPr>
            <w:tcW w:type="dxa" w:w="201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8"/>
              </w:rPr>
              <w:t>ТИНКО</w:t>
            </w:r>
          </w:p>
        </w:tc>
        <w:tc>
          <w:tcPr>
            <w:tcW w:type="dxa" w:w="280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8"/>
              </w:rPr>
              <w:t>Вебинарный конвейер среди дистрибьюторов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8"/>
              </w:rPr>
              <w:t>Еженедельные вебинары (вт, 11:00) совместно с вендорами</w:t>
            </w:r>
          </w:p>
        </w:tc>
        <w:tc>
          <w:tcPr>
            <w:tcW w:type="dxa" w:w="1944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14">
              <w:r>
                <w:rPr>
                  <w:color w:val="1155CC"/>
                  <w:u w:val="single"/>
                  <w:sz w:val="18"/>
                  <w:rFonts w:ascii="Calibri" w:hAnsi="Calibri"/>
                </w:rPr>
                <w:t xml:space="preserve">tinko.ru/webinars</w:t>
              </w:r>
            </w:hyperlink>
          </w:p>
        </w:tc>
      </w:tr>
    </w:tbl>
    <w:p>
      <w:pPr>
        <w:spacing w:after="40"/>
      </w:pPr>
    </w:p>
    <w:p>
      <w:pPr>
        <w:spacing w:before="300" w:after="100"/>
        <w:pBdr>
          <w:bottom w:val="single" w:sz="6" w:space="4" w:color="383F45"/>
        </w:pBdr>
      </w:pPr>
      <w:r>
        <w:rPr>
          <w:rFonts w:ascii="Exo 2" w:hAnsi="Exo 2"/>
          <w:b/>
          <w:color w:val="383F45"/>
          <w:sz w:val="30"/>
        </w:rPr>
        <w:t>2. Мониторинг: что есть у каждого</w:t>
      </w:r>
    </w:p>
    <w:p>
      <w:pPr>
        <w:spacing w:after="120"/>
      </w:pPr>
      <w:r>
        <w:rPr>
          <w:rFonts w:ascii="Calibri" w:hAnsi="Calibri"/>
          <w:b w:val="0"/>
          <w:i w:val="0"/>
          <w:color w:val="606A72"/>
          <w:sz w:val="19"/>
        </w:rPr>
        <w:t>Из чего состоит вебинар-продукт каждого игрока, его темы и страница программы. Компании (первая колонка) и страницы вебинаров — кликабельные ссылки.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3"/>
          <w:left w:val="single" w:sz="4" w:space="0" w:color="D8DEE3"/>
          <w:bottom w:val="single" w:sz="4" w:space="0" w:color="D8DEE3"/>
          <w:right w:val="single" w:sz="4" w:space="0" w:color="D8DEE3"/>
          <w:insideH w:val="single" w:sz="4" w:space="0" w:color="D8DEE3"/>
          <w:insideV w:val="single" w:sz="4" w:space="0" w:color="D8DEE3"/>
        </w:tblBorders>
      </w:tblPr>
      <w:tblGrid>
        <w:gridCol w:w="2521"/>
        <w:gridCol w:w="2521"/>
        <w:gridCol w:w="2521"/>
        <w:gridCol w:w="2521"/>
      </w:tblGrid>
      <w:tr>
        <w:tc>
          <w:tcPr>
            <w:tcW w:type="dxa" w:w="1728"/>
            <w:shd w:val="clear" w:color="auto" w:fill="BE173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Компания</w:t>
            </w:r>
          </w:p>
        </w:tc>
        <w:tc>
          <w:tcPr>
            <w:tcW w:type="dxa" w:w="3456"/>
            <w:shd w:val="clear" w:color="auto" w:fill="BE173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Формат и из чего состоит</w:t>
            </w:r>
          </w:p>
        </w:tc>
        <w:tc>
          <w:tcPr>
            <w:tcW w:type="dxa" w:w="2952"/>
            <w:shd w:val="clear" w:color="auto" w:fill="BE173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Темы</w:t>
            </w:r>
          </w:p>
        </w:tc>
        <w:tc>
          <w:tcPr>
            <w:tcW w:type="dxa" w:w="2088"/>
            <w:shd w:val="clear" w:color="auto" w:fill="BE173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Страница вебинаров</w:t>
            </w:r>
          </w:p>
        </w:tc>
      </w:tr>
      <w:tr>
        <w:tc>
          <w:tcPr>
            <w:tcW w:type="dxa" w:w="10084"/>
            <w:gridSpan w:val="4"/>
            <w:shd w:val="clear" w:color="auto" w:fill="DDE4E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383F45"/>
                <w:sz w:val="19"/>
              </w:rPr>
              <w:t>Вендоры-производители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15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Болид</w:t>
              </w:r>
            </w:hyperlink>
          </w:p>
        </w:tc>
        <w:tc>
          <w:tcPr>
            <w:tcW w:type="dxa" w:w="34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Онлайн-практикумы (почти ежедневно) + вебинары + база записей</w:t>
            </w:r>
          </w:p>
        </w:tc>
        <w:tc>
          <w:tcPr>
            <w:tcW w:type="dxa" w:w="295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ОПС, СОУЭ/СПС по СП 3/484/6, АУПТ «Сириус», дымоудаление, пусконаладка</w:t>
            </w:r>
          </w:p>
        </w:tc>
        <w:tc>
          <w:tcPr>
            <w:tcW w:type="dxa" w:w="208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16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bolid.ru/support/study/webinars</w:t>
              </w:r>
            </w:hyperlink>
          </w:p>
        </w:tc>
      </w:tr>
      <w:tr>
        <w:tc>
          <w:tcPr>
            <w:tcW w:type="dxa" w:w="172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17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TRASSIR (DSSL)</w:t>
              </w:r>
            </w:hyperlink>
          </w:p>
        </w:tc>
        <w:tc>
          <w:tcPr>
            <w:tcW w:type="dxa" w:w="34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Еженедельные вебинары + учебный портал; всем — запись и презентация</w:t>
            </w:r>
          </w:p>
        </w:tc>
        <w:tc>
          <w:tcPr>
            <w:tcW w:type="dxa" w:w="295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Видео + СКУД в одной системе, тендеры/СТ-1, PoE, ИИ-аналитика (ритейл, склад, HoReCa)</w:t>
            </w:r>
          </w:p>
        </w:tc>
        <w:tc>
          <w:tcPr>
            <w:tcW w:type="dxa" w:w="208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11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dssl.ru/info/events</w:t>
              </w:r>
            </w:hyperlink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18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Аргус-Спектр</w:t>
              </w:r>
            </w:hyperlink>
          </w:p>
        </w:tc>
        <w:tc>
          <w:tcPr>
            <w:tcW w:type="dxa" w:w="34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Ежедневные бесплатные онлайн-вебинары (курсы) + YouTube StreletzTV</w:t>
            </w:r>
          </w:p>
        </w:tc>
        <w:tc>
          <w:tcPr>
            <w:tcW w:type="dxa" w:w="295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«Стрелец-ПРО», новые ГОСТ и СП 484–486, радиосистемы, проектирование</w:t>
            </w:r>
          </w:p>
        </w:tc>
        <w:tc>
          <w:tcPr>
            <w:tcW w:type="dxa" w:w="208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13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educ.argus-spectr.ru</w:t>
              </w:r>
            </w:hyperlink>
          </w:p>
        </w:tc>
      </w:tr>
      <w:tr>
        <w:tc>
          <w:tcPr>
            <w:tcW w:type="dxa" w:w="172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19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Рубеж</w:t>
              </w:r>
            </w:hyperlink>
          </w:p>
        </w:tc>
        <w:tc>
          <w:tcPr>
            <w:tcW w:type="dxa" w:w="34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Серия вебинаров по проектированию (СП 3/484/6, СОУЭ) + онлайн-курсы (ZOOM) + сертификация</w:t>
            </w:r>
          </w:p>
        </w:tc>
        <w:tc>
          <w:tcPr>
            <w:tcW w:type="dxa" w:w="295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ИСБ R3, СПЗ GLOBAL, СКУД STRAZH, СОУЭ SONAR, новые СП</w:t>
            </w:r>
          </w:p>
        </w:tc>
        <w:tc>
          <w:tcPr>
            <w:tcW w:type="dxa" w:w="208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20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projects.rubezh.ru/schedule</w:t>
              </w:r>
            </w:hyperlink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21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Macroscop</w:t>
              </w:r>
            </w:hyperlink>
          </w:p>
        </w:tc>
        <w:tc>
          <w:tcPr>
            <w:tcW w:type="dxa" w:w="34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Вебинары (в т.ч. через дистрибьюторов) + онлайн-курсы</w:t>
            </w:r>
          </w:p>
        </w:tc>
        <w:tc>
          <w:tcPr>
            <w:tcW w:type="dxa" w:w="295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Нейросетевая видеоаналитика, модули в проектах, отраслевые решения</w:t>
            </w:r>
          </w:p>
        </w:tc>
        <w:tc>
          <w:tcPr>
            <w:tcW w:type="dxa" w:w="208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22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macroscop.com/podderzhka/seminars-and-webinars</w:t>
              </w:r>
            </w:hyperlink>
          </w:p>
        </w:tc>
      </w:tr>
      <w:tr>
        <w:tc>
          <w:tcPr>
            <w:tcW w:type="dxa" w:w="172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23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ITV / AxxonSoft</w:t>
              </w:r>
            </w:hyperlink>
          </w:p>
        </w:tc>
        <w:tc>
          <w:tcPr>
            <w:tcW w:type="dxa" w:w="34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Вебинары (Zoom, в т.ч. международные) + онлайн-академия + сертификация ANCP</w:t>
            </w:r>
          </w:p>
        </w:tc>
        <w:tc>
          <w:tcPr>
            <w:tcW w:type="dxa" w:w="295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Axxon One 3.0, предиктивная ИИ-аналитика, Unified Security</w:t>
            </w:r>
          </w:p>
        </w:tc>
        <w:tc>
          <w:tcPr>
            <w:tcW w:type="dxa" w:w="208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24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itv.ru/support/training</w:t>
              </w:r>
            </w:hyperlink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25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Hikvision</w:t>
              </w:r>
            </w:hyperlink>
          </w:p>
        </w:tc>
        <w:tc>
          <w:tcPr>
            <w:tcW w:type="dxa" w:w="34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Вебинары на YouTube + Академия (сертификация HCSA/HCSP)</w:t>
            </w:r>
          </w:p>
        </w:tc>
        <w:tc>
          <w:tcPr>
            <w:tcW w:type="dxa" w:w="295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Видеонаблюдение, СКУД, домофоны, облако (курс HCSA Cloud)</w:t>
            </w:r>
          </w:p>
        </w:tc>
        <w:tc>
          <w:tcPr>
            <w:tcW w:type="dxa" w:w="208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26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hikvision.ru/training</w:t>
              </w:r>
            </w:hyperlink>
          </w:p>
        </w:tc>
      </w:tr>
      <w:tr>
        <w:tc>
          <w:tcPr>
            <w:tcW w:type="dxa" w:w="172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27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Parsec</w:t>
              </w:r>
            </w:hyperlink>
          </w:p>
        </w:tc>
        <w:tc>
          <w:tcPr>
            <w:tcW w:type="dxa" w:w="34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Ежемесячные бесплатные онлайн-семинары (вебинары) + дистанционные курсы</w:t>
            </w:r>
          </w:p>
        </w:tc>
        <w:tc>
          <w:tcPr>
            <w:tcW w:type="dxa" w:w="295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СКУД ParsecNET / ParsecNext, полный цикл проектирования</w:t>
            </w:r>
          </w:p>
        </w:tc>
        <w:tc>
          <w:tcPr>
            <w:tcW w:type="dxa" w:w="208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28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parsec.ru/training</w:t>
              </w:r>
            </w:hyperlink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29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IDIS</w:t>
              </w:r>
            </w:hyperlink>
          </w:p>
        </w:tc>
        <w:tc>
          <w:tcPr>
            <w:tcW w:type="dxa" w:w="34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Вебинары через дистрибьюторов (Telinter, AVIX) + демо из шоурума</w:t>
            </w:r>
          </w:p>
        </w:tc>
        <w:tc>
          <w:tcPr>
            <w:tcW w:type="dxa" w:w="295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Кибербезопасное видеонаблюдение, TCO, отказоустойчивость архива</w:t>
            </w:r>
          </w:p>
        </w:tc>
        <w:tc>
          <w:tcPr>
            <w:tcW w:type="dxa" w:w="208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606A72"/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30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Uniview</w:t>
              </w:r>
            </w:hyperlink>
          </w:p>
        </w:tc>
        <w:tc>
          <w:tcPr>
            <w:tcW w:type="dxa" w:w="34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Вебинары через дистрибьютора OCS</w:t>
            </w:r>
          </w:p>
        </w:tc>
        <w:tc>
          <w:tcPr>
            <w:tcW w:type="dxa" w:w="295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СКУД, видеодомофония, видеонаблюдение</w:t>
            </w:r>
          </w:p>
        </w:tc>
        <w:tc>
          <w:tcPr>
            <w:tcW w:type="dxa" w:w="208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606A72"/>
                <w:sz w:val="16"/>
              </w:rPr>
              <w:t>—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31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Эридан</w:t>
              </w:r>
            </w:hyperlink>
          </w:p>
        </w:tc>
        <w:tc>
          <w:tcPr>
            <w:tcW w:type="dxa" w:w="34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Разовые вебинары (нерегулярно) + записи</w:t>
            </w:r>
          </w:p>
        </w:tc>
        <w:tc>
          <w:tcPr>
            <w:tcW w:type="dxa" w:w="295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Взрывозащищённая пожарная автоматика, СПЗ «Диалог PRO»</w:t>
            </w:r>
          </w:p>
        </w:tc>
        <w:tc>
          <w:tcPr>
            <w:tcW w:type="dxa" w:w="208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32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eridan.ru/press-center/news</w:t>
              </w:r>
            </w:hyperlink>
          </w:p>
        </w:tc>
      </w:tr>
      <w:tr>
        <w:tc>
          <w:tcPr>
            <w:tcW w:type="dxa" w:w="10084"/>
            <w:gridSpan w:val="4"/>
            <w:shd w:val="clear" w:color="auto" w:fill="DDE4E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383F45"/>
                <w:sz w:val="19"/>
              </w:rPr>
              <w:t>Дистрибьюторы</w:t>
            </w:r>
          </w:p>
        </w:tc>
      </w:tr>
      <w:tr>
        <w:tc>
          <w:tcPr>
            <w:tcW w:type="dxa" w:w="172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33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ТИНКО</w:t>
              </w:r>
            </w:hyperlink>
          </w:p>
        </w:tc>
        <w:tc>
          <w:tcPr>
            <w:tcW w:type="dxa" w:w="34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Еженедельный вебинарный конвейер (вт, 11:00) + база записей + сертификат</w:t>
            </w:r>
          </w:p>
        </w:tc>
        <w:tc>
          <w:tcPr>
            <w:tcW w:type="dxa" w:w="295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ОПС, СКУД, видео, резервное питание, ЭУИ</w:t>
            </w:r>
          </w:p>
        </w:tc>
        <w:tc>
          <w:tcPr>
            <w:tcW w:type="dxa" w:w="208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14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tinko.ru/webinars</w:t>
              </w:r>
            </w:hyperlink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34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АРМО-Системы</w:t>
              </w:r>
            </w:hyperlink>
          </w:p>
        </w:tc>
        <w:tc>
          <w:tcPr>
            <w:tcW w:type="dxa" w:w="34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Регулярные вебинары с брендами на mts-link + записи</w:t>
            </w:r>
          </w:p>
        </w:tc>
        <w:tc>
          <w:tcPr>
            <w:tcW w:type="dxa" w:w="295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Видео, СКУД, ОПС, СОУЭ (Smartec, Milestone, Bosch, Axis)</w:t>
            </w:r>
          </w:p>
        </w:tc>
        <w:tc>
          <w:tcPr>
            <w:tcW w:type="dxa" w:w="208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35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armosystems.ru/events/webinar</w:t>
              </w:r>
            </w:hyperlink>
          </w:p>
        </w:tc>
      </w:tr>
      <w:tr>
        <w:tc>
          <w:tcPr>
            <w:tcW w:type="dxa" w:w="172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36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Сатро-Паладин</w:t>
              </w:r>
            </w:hyperlink>
          </w:p>
        </w:tc>
        <w:tc>
          <w:tcPr>
            <w:tcW w:type="dxa" w:w="34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Вебинары + видеообзоры + записи</w:t>
            </w:r>
          </w:p>
        </w:tc>
        <w:tc>
          <w:tcPr>
            <w:tcW w:type="dxa" w:w="295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Видео, СКУД (ParsecNET), турникеты SPRUT</w:t>
            </w:r>
          </w:p>
        </w:tc>
        <w:tc>
          <w:tcPr>
            <w:tcW w:type="dxa" w:w="208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37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satro-paladin.com/about/webinars</w:t>
              </w:r>
            </w:hyperlink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38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ЭТМ</w:t>
              </w:r>
            </w:hyperlink>
          </w:p>
        </w:tc>
        <w:tc>
          <w:tcPr>
            <w:tcW w:type="dxa" w:w="34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Академия ЭТМ: вебинары (платформа Webex), с сертификатом</w:t>
            </w:r>
          </w:p>
        </w:tc>
        <w:tc>
          <w:tcPr>
            <w:tcW w:type="dxa" w:w="295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Электротехника; безопасность — через вендоров</w:t>
            </w:r>
          </w:p>
        </w:tc>
        <w:tc>
          <w:tcPr>
            <w:tcW w:type="dxa" w:w="208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39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etm.ru/company/etm-academy</w:t>
              </w:r>
            </w:hyperlink>
          </w:p>
        </w:tc>
      </w:tr>
      <w:tr>
        <w:tc>
          <w:tcPr>
            <w:tcW w:type="dxa" w:w="172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40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IEK Group</w:t>
              </w:r>
            </w:hyperlink>
          </w:p>
        </w:tc>
        <w:tc>
          <w:tcPr>
            <w:tcW w:type="dxa" w:w="34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Академия IEK: 200+ вебинаров в год (mts-link)</w:t>
            </w:r>
          </w:p>
        </w:tc>
        <w:tc>
          <w:tcPr>
            <w:tcW w:type="dxa" w:w="295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Электротехника / слаботочка; СКС ITK</w:t>
            </w:r>
          </w:p>
        </w:tc>
        <w:tc>
          <w:tcPr>
            <w:tcW w:type="dxa" w:w="208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41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univer.iek.group/webinars</w:t>
              </w:r>
            </w:hyperlink>
          </w:p>
        </w:tc>
      </w:tr>
      <w:tr>
        <w:tc>
          <w:tcPr>
            <w:tcW w:type="dxa" w:w="10084"/>
            <w:gridSpan w:val="4"/>
            <w:shd w:val="clear" w:color="auto" w:fill="DDE4E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383F45"/>
                <w:sz w:val="19"/>
              </w:rPr>
              <w:t>Онлайн-площадки, учебные центры и интеграторы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42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Secuteck / Гротек</w:t>
              </w:r>
            </w:hyperlink>
          </w:p>
        </w:tc>
        <w:tc>
          <w:tcPr>
            <w:tcW w:type="dxa" w:w="34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Система бесплатных онлайн-вебинаров (формат онлайн-конференций), несколько в неделю + записи + единая регистрация</w:t>
            </w:r>
          </w:p>
        </w:tc>
        <w:tc>
          <w:tcPr>
            <w:tcW w:type="dxa" w:w="295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Видеонаблюдение, СКУД, ОПС, периметр, БПЛА, пожарка, видеоаналитика</w:t>
            </w:r>
          </w:p>
        </w:tc>
        <w:tc>
          <w:tcPr>
            <w:tcW w:type="dxa" w:w="208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10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www.secuteck.ru/confex</w:t>
              </w:r>
            </w:hyperlink>
          </w:p>
        </w:tc>
      </w:tr>
      <w:tr>
        <w:tc>
          <w:tcPr>
            <w:tcW w:type="dxa" w:w="172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43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УЦ ТАКИР</w:t>
              </w:r>
            </w:hyperlink>
          </w:p>
        </w:tc>
        <w:tc>
          <w:tcPr>
            <w:tcW w:type="dxa" w:w="34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Учебный центр (АНО ДПО, с 1993): курсы, семинары + вебинары и лекции (YouTube, RUTUBE)</w:t>
            </w:r>
          </w:p>
        </w:tc>
        <w:tc>
          <w:tcPr>
            <w:tcW w:type="dxa" w:w="295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Пожарная безопасность: проектирование, оценка рисков, монтаж и ТО, новые СП</w:t>
            </w:r>
          </w:p>
        </w:tc>
        <w:tc>
          <w:tcPr>
            <w:tcW w:type="dxa" w:w="208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44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takir.ru/timetable</w:t>
              </w:r>
            </w:hyperlink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45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K2 Tech ★</w:t>
              </w:r>
            </w:hyperlink>
          </w:p>
        </w:tc>
        <w:tc>
          <w:tcPr>
            <w:tcW w:type="dxa" w:w="34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Продюсерские вебинары + митапы + архив на YouTube; по безопасности — редкие флагманы с платной рекламой</w:t>
            </w:r>
          </w:p>
        </w:tc>
        <w:tc>
          <w:tcPr>
            <w:tcW w:type="dxa" w:w="295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Комплексная безопасность промобъектов (физбез + кибербез + данные)</w:t>
            </w:r>
          </w:p>
        </w:tc>
        <w:tc>
          <w:tcPr>
            <w:tcW w:type="dxa" w:w="208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46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k2.tech/events</w:t>
              </w:r>
            </w:hyperlink>
          </w:p>
        </w:tc>
      </w:tr>
      <w:tr>
        <w:tc>
          <w:tcPr>
            <w:tcW w:type="dxa" w:w="172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47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Ростелеком</w:t>
              </w:r>
            </w:hyperlink>
          </w:p>
        </w:tc>
        <w:tc>
          <w:tcPr>
            <w:tcW w:type="dxa" w:w="34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Отраслевые вебинары проектного офиса (промбезопасность)</w:t>
            </w:r>
          </w:p>
        </w:tc>
        <w:tc>
          <w:tcPr>
            <w:tcW w:type="dxa" w:w="295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Видеоаналитика СИЗ, геопозиционирование, антинаезд, предиктивная аналитика</w:t>
            </w:r>
          </w:p>
        </w:tc>
        <w:tc>
          <w:tcPr>
            <w:tcW w:type="dxa" w:w="2088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47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rt.ru</w:t>
              </w:r>
            </w:hyperlink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48">
              <w:r>
                <w:rPr>
                  <w:color w:val="1155CC"/>
                  <w:u w:val="single"/>
                  <w:b/>
                  <w:sz w:val="17"/>
                  <w:rFonts w:ascii="Calibri" w:hAnsi="Calibri"/>
                </w:rPr>
                <w:t xml:space="preserve">ComNews</w:t>
              </w:r>
            </w:hyperlink>
          </w:p>
        </w:tc>
        <w:tc>
          <w:tcPr>
            <w:tcW w:type="dxa" w:w="34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Онлайн-вебинары по рынку (поставщики + интеграторы + заказчики)</w:t>
            </w:r>
          </w:p>
        </w:tc>
        <w:tc>
          <w:tcPr>
            <w:tcW w:type="dxa" w:w="295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Рынок видеонаблюдения и видеоаналитики</w:t>
            </w:r>
          </w:p>
        </w:tc>
        <w:tc>
          <w:tcPr>
            <w:tcW w:type="dxa" w:w="208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/>
            <w:hyperlink r:id="rId48">
              <w:r>
                <w:rPr>
                  <w:color w:val="1155CC"/>
                  <w:u w:val="single"/>
                  <w:sz w:val="16"/>
                  <w:rFonts w:ascii="Calibri" w:hAnsi="Calibri"/>
                </w:rPr>
                <w:t xml:space="preserve">cnconf.ru</w:t>
              </w:r>
            </w:hyperlink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/>
          <w:color w:val="606A72"/>
          <w:sz w:val="18"/>
        </w:rPr>
      </w:r>
      <w:r>
        <w:rPr>
          <w:rFonts w:ascii="Calibri" w:hAnsi="Calibri"/>
          <w:b/>
          <w:i/>
          <w:color w:val="606A72"/>
          <w:sz w:val="18"/>
        </w:rPr>
        <w:t>Включены</w:t>
      </w:r>
      <w:r>
        <w:rPr>
          <w:rFonts w:ascii="Calibri" w:hAnsi="Calibri"/>
          <w:b w:val="0"/>
          <w:i/>
          <w:color w:val="606A72"/>
          <w:sz w:val="18"/>
        </w:rPr>
        <w:t xml:space="preserve"> аналитические, трендовые, тематические и нормативные вебинары, отраслевые конференции и регулярные программы (в разделе 3 — отдельным блоком). </w:t>
      </w:r>
      <w:r>
        <w:rPr>
          <w:rFonts w:ascii="Calibri" w:hAnsi="Calibri"/>
          <w:b/>
          <w:i/>
          <w:color w:val="606A72"/>
          <w:sz w:val="18"/>
        </w:rPr>
        <w:t>Исключены</w:t>
      </w:r>
      <w:r>
        <w:rPr>
          <w:rFonts w:ascii="Calibri" w:hAnsi="Calibri"/>
          <w:b w:val="0"/>
          <w:i/>
          <w:color w:val="606A72"/>
          <w:sz w:val="18"/>
        </w:rPr>
        <w:t xml:space="preserve"> продуктовые.</w:t>
      </w:r>
    </w:p>
    <w:p>
      <w:pPr>
        <w:spacing w:before="300" w:after="100"/>
        <w:pBdr>
          <w:bottom w:val="single" w:sz="6" w:space="4" w:color="383F45"/>
        </w:pBdr>
      </w:pPr>
      <w:r>
        <w:rPr>
          <w:rFonts w:ascii="Exo 2" w:hAnsi="Exo 2"/>
          <w:b/>
          <w:color w:val="383F45"/>
          <w:sz w:val="30"/>
        </w:rPr>
        <w:t>3. Что было и что будет: вебинары, темы и спикеры (2026)</w:t>
      </w:r>
    </w:p>
    <w:p>
      <w:pPr>
        <w:spacing w:after="120"/>
      </w:pPr>
      <w:r>
        <w:rPr>
          <w:rFonts w:ascii="Calibri" w:hAnsi="Calibri"/>
          <w:b w:val="0"/>
          <w:i w:val="0"/>
          <w:color w:val="606A72"/>
          <w:sz w:val="19"/>
        </w:rPr>
      </w:r>
      <w:r>
        <w:rPr>
          <w:rFonts w:ascii="Calibri" w:hAnsi="Calibri"/>
          <w:b/>
          <w:i w:val="0"/>
          <w:color w:val="606A72"/>
          <w:sz w:val="19"/>
        </w:rPr>
        <w:t>Регулярные программы</w:t>
      </w:r>
      <w:r>
        <w:rPr>
          <w:rFonts w:ascii="Calibri" w:hAnsi="Calibri"/>
          <w:b w:val="0"/>
          <w:i w:val="0"/>
          <w:color w:val="606A72"/>
          <w:sz w:val="19"/>
        </w:rPr>
        <w:t xml:space="preserve"> (ежедневные/еженедельные) вынесены отдельным блоком ниже. В блоках «Прошли»/«Предстоят» — только аналитические, трендовые, тематические и нормативные вебинары и отраслевые онлайн-конференции. </w:t>
      </w:r>
      <w:r>
        <w:rPr>
          <w:rFonts w:ascii="Calibri" w:hAnsi="Calibri"/>
          <w:b/>
          <w:i w:val="0"/>
          <w:color w:val="606A72"/>
          <w:sz w:val="19"/>
        </w:rPr>
        <w:t>Исключены</w:t>
      </w:r>
      <w:r>
        <w:rPr>
          <w:rFonts w:ascii="Calibri" w:hAnsi="Calibri"/>
          <w:b w:val="0"/>
          <w:i w:val="0"/>
          <w:color w:val="606A72"/>
          <w:sz w:val="19"/>
        </w:rPr>
        <w:t xml:space="preserve"> продуктовые (обзоры оборудования), офлайн-форумы и выставки.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3"/>
          <w:left w:val="single" w:sz="4" w:space="0" w:color="D8DEE3"/>
          <w:bottom w:val="single" w:sz="4" w:space="0" w:color="D8DEE3"/>
          <w:right w:val="single" w:sz="4" w:space="0" w:color="D8DEE3"/>
          <w:insideH w:val="single" w:sz="4" w:space="0" w:color="D8DEE3"/>
          <w:insideV w:val="single" w:sz="4" w:space="0" w:color="D8DEE3"/>
        </w:tblBorders>
      </w:tblPr>
      <w:tblGrid>
        <w:gridCol w:w="2521"/>
        <w:gridCol w:w="2521"/>
        <w:gridCol w:w="2521"/>
        <w:gridCol w:w="2521"/>
      </w:tblGrid>
      <w:tr>
        <w:tc>
          <w:tcPr>
            <w:tcW w:type="dxa" w:w="1512"/>
            <w:shd w:val="clear" w:color="auto" w:fill="BE173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Дата / частота</w:t>
            </w:r>
          </w:p>
        </w:tc>
        <w:tc>
          <w:tcPr>
            <w:tcW w:type="dxa" w:w="1656"/>
            <w:shd w:val="clear" w:color="auto" w:fill="BE173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Организатор</w:t>
            </w:r>
          </w:p>
        </w:tc>
        <w:tc>
          <w:tcPr>
            <w:tcW w:type="dxa" w:w="3600"/>
            <w:shd w:val="clear" w:color="auto" w:fill="BE173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Тема / вебинар</w:t>
            </w:r>
          </w:p>
        </w:tc>
        <w:tc>
          <w:tcPr>
            <w:tcW w:type="dxa" w:w="3312"/>
            <w:shd w:val="clear" w:color="auto" w:fill="BE173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Спикер (должность)</w:t>
            </w:r>
          </w:p>
        </w:tc>
      </w:tr>
      <w:tr>
        <w:tc>
          <w:tcPr>
            <w:tcW w:type="dxa" w:w="10084"/>
            <w:gridSpan w:val="4"/>
            <w:shd w:val="clear" w:color="auto" w:fill="DDE4E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383F45"/>
                <w:sz w:val="19"/>
              </w:rPr>
              <w:t>Регулярные программы — идут круглый год (ежедневно/еженедельно), поштучно не расписаны</w:t>
            </w:r>
          </w:p>
        </w:tc>
      </w:tr>
      <w:tr>
        <w:tc>
          <w:tcPr>
            <w:tcW w:type="dxa" w:w="15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ежедневно (будни)</w:t>
            </w:r>
          </w:p>
        </w:tc>
        <w:tc>
          <w:tcPr>
            <w:tcW w:type="dxa" w:w="16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Аргус-Спектр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Базовый курс «Стрелец-ПРО», проектирование по новым ГОСТ и СП 484–486</w:t>
            </w:r>
          </w:p>
        </w:tc>
        <w:tc>
          <w:tcPr>
            <w:tcW w:type="dxa" w:w="33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Техспециалисты</w:t>
            </w:r>
          </w:p>
        </w:tc>
      </w:tr>
      <w:tr>
        <w:tc>
          <w:tcPr>
            <w:tcW w:type="dxa" w:w="15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почти ежедневно</w:t>
            </w:r>
          </w:p>
        </w:tc>
        <w:tc>
          <w:tcPr>
            <w:tcW w:type="dxa" w:w="16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Болид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Онлайн-практикумы: ИСО «Орион», СОУЭ/СПС/АУПТ, пусконаладка ОПС</w:t>
            </w:r>
          </w:p>
        </w:tc>
        <w:tc>
          <w:tcPr>
            <w:tcW w:type="dxa" w:w="33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Служба техподдержки</w:t>
            </w:r>
          </w:p>
        </w:tc>
      </w:tr>
      <w:tr>
        <w:tc>
          <w:tcPr>
            <w:tcW w:type="dxa" w:w="15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еженедельно</w:t>
            </w:r>
          </w:p>
        </w:tc>
        <w:tc>
          <w:tcPr>
            <w:tcW w:type="dxa" w:w="16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TRASSIR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Еженедельные вебинары: видео+СКУД, тендеры, ИИ-аналитика</w:t>
            </w:r>
          </w:p>
        </w:tc>
        <w:tc>
          <w:tcPr>
            <w:tcW w:type="dxa" w:w="33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Е. Ошкин, А. Булатов и др.</w:t>
            </w:r>
          </w:p>
        </w:tc>
      </w:tr>
      <w:tr>
        <w:tc>
          <w:tcPr>
            <w:tcW w:type="dxa" w:w="15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еженедельно (вт)</w:t>
            </w:r>
          </w:p>
        </w:tc>
        <w:tc>
          <w:tcPr>
            <w:tcW w:type="dxa" w:w="16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ТИНКО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Вебинары с вендорами: ОПС, СКУД, видео, питание</w:t>
            </w:r>
          </w:p>
        </w:tc>
        <w:tc>
          <w:tcPr>
            <w:tcW w:type="dxa" w:w="33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Спикеры брендов</w:t>
            </w:r>
          </w:p>
        </w:tc>
      </w:tr>
      <w:tr>
        <w:tc>
          <w:tcPr>
            <w:tcW w:type="dxa" w:w="15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ежемесячно</w:t>
            </w:r>
          </w:p>
        </w:tc>
        <w:tc>
          <w:tcPr>
            <w:tcW w:type="dxa" w:w="16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Parsec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Онлайн-семинары по СКУД ParsecNET / ParsecNext</w:t>
            </w:r>
          </w:p>
        </w:tc>
        <w:tc>
          <w:tcPr>
            <w:tcW w:type="dxa" w:w="33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Академия Parsec</w:t>
            </w:r>
          </w:p>
        </w:tc>
      </w:tr>
      <w:tr>
        <w:tc>
          <w:tcPr>
            <w:tcW w:type="dxa" w:w="15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ежемесячно</w:t>
            </w:r>
          </w:p>
        </w:tc>
        <w:tc>
          <w:tcPr>
            <w:tcW w:type="dxa" w:w="16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Macroscop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Вебинары по нейросетевой видеоаналитике</w:t>
            </w:r>
          </w:p>
        </w:tc>
        <w:tc>
          <w:tcPr>
            <w:tcW w:type="dxa" w:w="33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Инженеры Macroscop</w:t>
            </w:r>
          </w:p>
        </w:tc>
      </w:tr>
      <w:tr>
        <w:tc>
          <w:tcPr>
            <w:tcW w:type="dxa" w:w="15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регулярно</w:t>
            </w:r>
          </w:p>
        </w:tc>
        <w:tc>
          <w:tcPr>
            <w:tcW w:type="dxa" w:w="16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УЦ ТАКИР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Вебинары и лекции по пожарной безопасности, разбор новых СП</w:t>
            </w:r>
          </w:p>
        </w:tc>
        <w:tc>
          <w:tcPr>
            <w:tcW w:type="dxa" w:w="33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Эксперты ТАКИР</w:t>
            </w:r>
          </w:p>
        </w:tc>
      </w:tr>
      <w:tr>
        <w:tc>
          <w:tcPr>
            <w:tcW w:type="dxa" w:w="15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регулярно</w:t>
            </w:r>
          </w:p>
        </w:tc>
        <w:tc>
          <w:tcPr>
            <w:tcW w:type="dxa" w:w="16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Рубеж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Серия по проектированию: СП 3/484/6, СОУЭ, СПЗ GLOBAL, СКУД STRAZH</w:t>
            </w:r>
          </w:p>
        </w:tc>
        <w:tc>
          <w:tcPr>
            <w:tcW w:type="dxa" w:w="33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Г. Дорофеев (ГИП) и др.</w:t>
            </w:r>
          </w:p>
        </w:tc>
      </w:tr>
      <w:tr>
        <w:tc>
          <w:tcPr>
            <w:tcW w:type="dxa" w:w="10084"/>
            <w:gridSpan w:val="4"/>
            <w:shd w:val="clear" w:color="auto" w:fill="DDE4E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383F45"/>
                <w:sz w:val="19"/>
              </w:rPr>
              <w:t>Прошли — январь – июль 2026</w:t>
            </w:r>
          </w:p>
        </w:tc>
      </w:tr>
      <w:tr>
        <w:tc>
          <w:tcPr>
            <w:tcW w:type="dxa" w:w="15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12 фев</w:t>
            </w:r>
          </w:p>
        </w:tc>
        <w:tc>
          <w:tcPr>
            <w:tcW w:type="dxa" w:w="16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Ростелеком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Цифровые технологии для промбезопасности</w:t>
            </w:r>
          </w:p>
        </w:tc>
        <w:tc>
          <w:tcPr>
            <w:tcW w:type="dxa" w:w="33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Максим Кретинин, дир. направления</w:t>
            </w:r>
          </w:p>
        </w:tc>
      </w:tr>
      <w:tr>
        <w:tc>
          <w:tcPr>
            <w:tcW w:type="dxa" w:w="15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19 мар</w:t>
            </w:r>
          </w:p>
        </w:tc>
        <w:tc>
          <w:tcPr>
            <w:tcW w:type="dxa" w:w="16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Secuteck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ЦеСИС: проектирование комплексных систем безопасности</w:t>
            </w:r>
          </w:p>
        </w:tc>
        <w:tc>
          <w:tcPr>
            <w:tcW w:type="dxa" w:w="33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—</w:t>
            </w:r>
          </w:p>
        </w:tc>
      </w:tr>
      <w:tr>
        <w:tc>
          <w:tcPr>
            <w:tcW w:type="dxa" w:w="15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31 мар</w:t>
            </w:r>
          </w:p>
        </w:tc>
        <w:tc>
          <w:tcPr>
            <w:tcW w:type="dxa" w:w="16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Secuteck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Защита периметра промобъектов, нефтегаза, энергетики</w:t>
            </w:r>
          </w:p>
        </w:tc>
        <w:tc>
          <w:tcPr>
            <w:tcW w:type="dxa" w:w="33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—</w:t>
            </w:r>
          </w:p>
        </w:tc>
      </w:tr>
      <w:tr>
        <w:tc>
          <w:tcPr>
            <w:tcW w:type="dxa" w:w="15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7 апр</w:t>
            </w:r>
          </w:p>
        </w:tc>
        <w:tc>
          <w:tcPr>
            <w:tcW w:type="dxa" w:w="16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Secuteck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Технологии определения и подавления БПЛА</w:t>
            </w:r>
          </w:p>
        </w:tc>
        <w:tc>
          <w:tcPr>
            <w:tcW w:type="dxa" w:w="33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—</w:t>
            </w:r>
          </w:p>
        </w:tc>
      </w:tr>
      <w:tr>
        <w:tc>
          <w:tcPr>
            <w:tcW w:type="dxa" w:w="15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15 апр</w:t>
            </w:r>
          </w:p>
        </w:tc>
        <w:tc>
          <w:tcPr>
            <w:tcW w:type="dxa" w:w="16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Рубеж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СП 3.13130.2026: новая логика проектирования СОУЭ</w:t>
            </w:r>
          </w:p>
        </w:tc>
        <w:tc>
          <w:tcPr>
            <w:tcW w:type="dxa" w:w="33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Геннадий Дорофеев, ГИП</w:t>
            </w:r>
          </w:p>
        </w:tc>
      </w:tr>
      <w:tr>
        <w:tc>
          <w:tcPr>
            <w:tcW w:type="dxa" w:w="15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14 мая</w:t>
            </w:r>
          </w:p>
        </w:tc>
        <w:tc>
          <w:tcPr>
            <w:tcW w:type="dxa" w:w="16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Рубеж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СОУЭ для школ по СП 3.13130.2026 — новая логика проектирования</w:t>
            </w:r>
          </w:p>
        </w:tc>
        <w:tc>
          <w:tcPr>
            <w:tcW w:type="dxa" w:w="33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Геннадий Дорофеев, ГИП</w:t>
            </w:r>
          </w:p>
        </w:tc>
      </w:tr>
      <w:tr>
        <w:tc>
          <w:tcPr>
            <w:tcW w:type="dxa" w:w="15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15 мая</w:t>
            </w:r>
          </w:p>
        </w:tc>
        <w:tc>
          <w:tcPr>
            <w:tcW w:type="dxa" w:w="16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МОНТРАНС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Видеоаналитика на транспорте как предиктивная безопасность</w:t>
            </w:r>
          </w:p>
        </w:tc>
        <w:tc>
          <w:tcPr>
            <w:tcW w:type="dxa" w:w="33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Игорь Елсуков, рук. проектов</w:t>
            </w:r>
          </w:p>
        </w:tc>
      </w:tr>
      <w:tr>
        <w:tc>
          <w:tcPr>
            <w:tcW w:type="dxa" w:w="15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21 мая</w:t>
            </w:r>
          </w:p>
        </w:tc>
        <w:tc>
          <w:tcPr>
            <w:tcW w:type="dxa" w:w="16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Secuteck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Многофункциональные платформы видеоаналитики</w:t>
            </w:r>
          </w:p>
        </w:tc>
        <w:tc>
          <w:tcPr>
            <w:tcW w:type="dxa" w:w="33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—</w:t>
            </w:r>
          </w:p>
        </w:tc>
      </w:tr>
      <w:tr>
        <w:tc>
          <w:tcPr>
            <w:tcW w:type="dxa" w:w="15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23 июн</w:t>
            </w:r>
          </w:p>
        </w:tc>
        <w:tc>
          <w:tcPr>
            <w:tcW w:type="dxa" w:w="16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Болид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Проектирование СОУЭ по новым СП 3, СП 484, СП 6</w:t>
            </w:r>
          </w:p>
        </w:tc>
        <w:tc>
          <w:tcPr>
            <w:tcW w:type="dxa" w:w="33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Максим Горяченков, рук. техподдержки</w:t>
            </w:r>
          </w:p>
        </w:tc>
      </w:tr>
      <w:tr>
        <w:tc>
          <w:tcPr>
            <w:tcW w:type="dxa" w:w="15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23 июн</w:t>
            </w:r>
          </w:p>
        </w:tc>
        <w:tc>
          <w:tcPr>
            <w:tcW w:type="dxa" w:w="16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Secuteck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СКУД и видеоаналитика для бизнес-процессов (ИИ в ритейле)</w:t>
            </w:r>
          </w:p>
        </w:tc>
        <w:tc>
          <w:tcPr>
            <w:tcW w:type="dxa" w:w="33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—</w:t>
            </w:r>
          </w:p>
        </w:tc>
      </w:tr>
      <w:tr>
        <w:tc>
          <w:tcPr>
            <w:tcW w:type="dxa" w:w="15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30 июн</w:t>
            </w:r>
          </w:p>
        </w:tc>
        <w:tc>
          <w:tcPr>
            <w:tcW w:type="dxa" w:w="16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Secuteck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Безопасность промышленных объектов и ТЭК</w:t>
            </w:r>
          </w:p>
        </w:tc>
        <w:tc>
          <w:tcPr>
            <w:tcW w:type="dxa" w:w="33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—</w:t>
            </w:r>
          </w:p>
        </w:tc>
      </w:tr>
      <w:tr>
        <w:tc>
          <w:tcPr>
            <w:tcW w:type="dxa" w:w="15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14 июл</w:t>
            </w:r>
          </w:p>
        </w:tc>
        <w:tc>
          <w:tcPr>
            <w:tcW w:type="dxa" w:w="16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РУССБЫТ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СП 3.13130.2026: новые требования к СОУЭ (решения Речор)</w:t>
            </w:r>
          </w:p>
        </w:tc>
        <w:tc>
          <w:tcPr>
            <w:tcW w:type="dxa" w:w="33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—</w:t>
            </w:r>
          </w:p>
        </w:tc>
      </w:tr>
      <w:tr>
        <w:tc>
          <w:tcPr>
            <w:tcW w:type="dxa" w:w="10084"/>
            <w:gridSpan w:val="4"/>
            <w:shd w:val="clear" w:color="auto" w:fill="DDE4E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383F45"/>
                <w:sz w:val="19"/>
              </w:rPr>
              <w:t>Предстоят — июль – октябрь 2026</w:t>
            </w:r>
          </w:p>
        </w:tc>
      </w:tr>
      <w:tr>
        <w:tc>
          <w:tcPr>
            <w:tcW w:type="dxa" w:w="15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23 июл</w:t>
            </w:r>
          </w:p>
        </w:tc>
        <w:tc>
          <w:tcPr>
            <w:tcW w:type="dxa" w:w="16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Secuteck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Пожарная безопасность зданий и недвижимости</w:t>
            </w:r>
          </w:p>
        </w:tc>
        <w:tc>
          <w:tcPr>
            <w:tcW w:type="dxa" w:w="33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—</w:t>
            </w:r>
          </w:p>
        </w:tc>
      </w:tr>
      <w:tr>
        <w:tc>
          <w:tcPr>
            <w:tcW w:type="dxa" w:w="15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29 июл ★</w:t>
            </w:r>
          </w:p>
        </w:tc>
        <w:tc>
          <w:tcPr>
            <w:tcW w:type="dxa" w:w="16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K2 Tech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Комплексная безопасность промобъектов (флагман-вебинар)</w:t>
            </w:r>
          </w:p>
        </w:tc>
        <w:tc>
          <w:tcPr>
            <w:tcW w:type="dxa" w:w="33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И. Кондратенков (модератор), А. Смирнов, Е. Куликов, С. Верченов (K2) + А. Никонов (Dahua)</w:t>
            </w:r>
          </w:p>
        </w:tc>
      </w:tr>
      <w:tr>
        <w:tc>
          <w:tcPr>
            <w:tcW w:type="dxa" w:w="15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12 авг</w:t>
            </w:r>
          </w:p>
        </w:tc>
        <w:tc>
          <w:tcPr>
            <w:tcW w:type="dxa" w:w="16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Secuteck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Взрывозащита технологического оборудования (ОПО)</w:t>
            </w:r>
          </w:p>
        </w:tc>
        <w:tc>
          <w:tcPr>
            <w:tcW w:type="dxa" w:w="33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—</w:t>
            </w:r>
          </w:p>
        </w:tc>
      </w:tr>
      <w:tr>
        <w:tc>
          <w:tcPr>
            <w:tcW w:type="dxa" w:w="15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20 авг</w:t>
            </w:r>
          </w:p>
        </w:tc>
        <w:tc>
          <w:tcPr>
            <w:tcW w:type="dxa" w:w="16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Secuteck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Умные парковки и автоматизация пропуска для ЖК</w:t>
            </w:r>
          </w:p>
        </w:tc>
        <w:tc>
          <w:tcPr>
            <w:tcW w:type="dxa" w:w="33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—</w:t>
            </w:r>
          </w:p>
        </w:tc>
      </w:tr>
      <w:tr>
        <w:tc>
          <w:tcPr>
            <w:tcW w:type="dxa" w:w="15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4 сен</w:t>
            </w:r>
          </w:p>
        </w:tc>
        <w:tc>
          <w:tcPr>
            <w:tcW w:type="dxa" w:w="16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Secuteck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Академия СКУД: мобильный доступ, бесконтактная среда, интеграция</w:t>
            </w:r>
          </w:p>
        </w:tc>
        <w:tc>
          <w:tcPr>
            <w:tcW w:type="dxa" w:w="33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—</w:t>
            </w:r>
          </w:p>
        </w:tc>
      </w:tr>
      <w:tr>
        <w:tc>
          <w:tcPr>
            <w:tcW w:type="dxa" w:w="15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10 сен</w:t>
            </w:r>
          </w:p>
        </w:tc>
        <w:tc>
          <w:tcPr>
            <w:tcW w:type="dxa" w:w="16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Secuteck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Видеоаналитика и видеоконтроль техпроцессов</w:t>
            </w:r>
          </w:p>
        </w:tc>
        <w:tc>
          <w:tcPr>
            <w:tcW w:type="dxa" w:w="33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—</w:t>
            </w:r>
          </w:p>
        </w:tc>
      </w:tr>
      <w:tr>
        <w:tc>
          <w:tcPr>
            <w:tcW w:type="dxa" w:w="15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18 сен</w:t>
            </w:r>
          </w:p>
        </w:tc>
        <w:tc>
          <w:tcPr>
            <w:tcW w:type="dxa" w:w="16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Secuteck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Проектирование системы газового пожаротушения: риски и проекты</w:t>
            </w:r>
          </w:p>
        </w:tc>
        <w:tc>
          <w:tcPr>
            <w:tcW w:type="dxa" w:w="33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—</w:t>
            </w:r>
          </w:p>
        </w:tc>
      </w:tr>
      <w:tr>
        <w:tc>
          <w:tcPr>
            <w:tcW w:type="dxa" w:w="15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22 сен</w:t>
            </w:r>
          </w:p>
        </w:tc>
        <w:tc>
          <w:tcPr>
            <w:tcW w:type="dxa" w:w="16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Secuteck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Защита периметра критически важных и опасных объектов (КВО/ОПО)</w:t>
            </w:r>
          </w:p>
        </w:tc>
        <w:tc>
          <w:tcPr>
            <w:tcW w:type="dxa" w:w="33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—</w:t>
            </w:r>
          </w:p>
        </w:tc>
      </w:tr>
      <w:tr>
        <w:tc>
          <w:tcPr>
            <w:tcW w:type="dxa" w:w="15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1 окт</w:t>
            </w:r>
          </w:p>
        </w:tc>
        <w:tc>
          <w:tcPr>
            <w:tcW w:type="dxa" w:w="165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Secuteck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Технологии определения и подавления БПЛА</w:t>
            </w:r>
          </w:p>
        </w:tc>
        <w:tc>
          <w:tcPr>
            <w:tcW w:type="dxa" w:w="3312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—</w:t>
            </w:r>
          </w:p>
        </w:tc>
      </w:tr>
      <w:tr>
        <w:tc>
          <w:tcPr>
            <w:tcW w:type="dxa" w:w="15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282E"/>
                <w:sz w:val="17"/>
              </w:rPr>
              <w:t>6–16 окт</w:t>
            </w:r>
          </w:p>
        </w:tc>
        <w:tc>
          <w:tcPr>
            <w:tcW w:type="dxa" w:w="1656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Гротек / ITSEC</w:t>
            </w:r>
          </w:p>
        </w:tc>
        <w:tc>
          <w:tcPr>
            <w:tcW w:type="dxa" w:w="3600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ITSEC 2026: защита сети, периметра и инфраструктуры (онлайн-серия)</w:t>
            </w:r>
          </w:p>
        </w:tc>
        <w:tc>
          <w:tcPr>
            <w:tcW w:type="dxa" w:w="3312"/>
            <w:shd w:val="clear" w:color="auto" w:fill="F3F5F7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2282E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/>
          <w:color w:val="606A72"/>
          <w:sz w:val="18"/>
        </w:rPr>
        <w:t>«—» у части строк — спикеры онлайн-конференций Secuteck и осенних вебинаров публикуются ближе к дате.</w:t>
      </w:r>
    </w:p>
    <w:p>
      <w:pPr>
        <w:spacing w:before="300" w:after="100"/>
        <w:pBdr>
          <w:bottom w:val="single" w:sz="6" w:space="4" w:color="383F45"/>
        </w:pBdr>
      </w:pPr>
      <w:r>
        <w:rPr>
          <w:rFonts w:ascii="Exo 2" w:hAnsi="Exo 2"/>
          <w:b/>
          <w:color w:val="383F45"/>
          <w:sz w:val="30"/>
        </w:rPr>
        <w:t>Источники</w:t>
      </w:r>
    </w:p>
    <w:p>
      <w:pPr>
        <w:spacing w:after="20"/>
      </w:pPr>
      <w:r>
        <w:rPr>
          <w:rFonts w:ascii="Calibri" w:hAnsi="Calibri"/>
          <w:color w:val="606A72"/>
          <w:sz w:val="17"/>
        </w:rPr>
        <w:t>•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K2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Tech:</w:t>
      </w:r>
      <w:r>
        <w:rPr>
          <w:rFonts w:ascii="Calibri" w:hAnsi="Calibri"/>
          <w:color w:val="606A72"/>
          <w:sz w:val="17"/>
        </w:rPr>
        <w:t xml:space="preserve"> </w:t>
      </w:r>
      <w:hyperlink r:id="rId46">
        <w:r>
          <w:rPr>
            <w:color w:val="1155CC"/>
            <w:u w:val="single"/>
            <w:sz w:val="17"/>
            <w:rFonts w:ascii="Calibri" w:hAnsi="Calibri"/>
          </w:rPr>
          <w:t xml:space="preserve">k2.tech/events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hyperlink r:id="rId49">
        <w:r>
          <w:rPr>
            <w:color w:val="1155CC"/>
            <w:u w:val="single"/>
            <w:sz w:val="17"/>
            <w:rFonts w:ascii="Calibri" w:hAnsi="Calibri"/>
          </w:rPr>
          <w:t xml:space="preserve">promo.k2.tech/vebinar-kompleksnaya-prombezopasnost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YouTube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@K2-tech</w:t>
      </w:r>
    </w:p>
    <w:p>
      <w:pPr>
        <w:spacing w:after="20"/>
      </w:pPr>
      <w:r>
        <w:rPr>
          <w:rFonts w:ascii="Calibri" w:hAnsi="Calibri"/>
          <w:color w:val="606A72"/>
          <w:sz w:val="17"/>
        </w:rPr>
        <w:t>•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Secuteck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(Гротек):</w:t>
      </w:r>
      <w:r>
        <w:rPr>
          <w:rFonts w:ascii="Calibri" w:hAnsi="Calibri"/>
          <w:color w:val="606A72"/>
          <w:sz w:val="17"/>
        </w:rPr>
        <w:t xml:space="preserve"> </w:t>
      </w:r>
      <w:hyperlink r:id="rId10">
        <w:r>
          <w:rPr>
            <w:color w:val="1155CC"/>
            <w:u w:val="single"/>
            <w:sz w:val="17"/>
            <w:rFonts w:ascii="Calibri" w:hAnsi="Calibri"/>
          </w:rPr>
          <w:t xml:space="preserve">www.secuteck.ru/confex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hyperlink r:id="rId50">
        <w:r>
          <w:rPr>
            <w:color w:val="1155CC"/>
            <w:u w:val="single"/>
            <w:sz w:val="17"/>
            <w:rFonts w:ascii="Calibri" w:hAnsi="Calibri"/>
          </w:rPr>
          <w:t xml:space="preserve">www.secuteck.ru/calendar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hyperlink r:id="rId51">
        <w:r>
          <w:rPr>
            <w:color w:val="1155CC"/>
            <w:u w:val="single"/>
            <w:sz w:val="17"/>
            <w:rFonts w:ascii="Calibri" w:hAnsi="Calibri"/>
          </w:rPr>
          <w:t xml:space="preserve">www.secuteck.ru/news</w:t>
        </w:r>
      </w:hyperlink>
    </w:p>
    <w:p>
      <w:pPr>
        <w:spacing w:after="20"/>
      </w:pPr>
      <w:r>
        <w:rPr>
          <w:rFonts w:ascii="Calibri" w:hAnsi="Calibri"/>
          <w:color w:val="606A72"/>
          <w:sz w:val="17"/>
        </w:rPr>
        <w:t>•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Болид:</w:t>
      </w:r>
      <w:r>
        <w:rPr>
          <w:rFonts w:ascii="Calibri" w:hAnsi="Calibri"/>
          <w:color w:val="606A72"/>
          <w:sz w:val="17"/>
        </w:rPr>
        <w:t xml:space="preserve"> </w:t>
      </w:r>
      <w:hyperlink r:id="rId12">
        <w:r>
          <w:rPr>
            <w:color w:val="1155CC"/>
            <w:u w:val="single"/>
            <w:sz w:val="17"/>
            <w:rFonts w:ascii="Calibri" w:hAnsi="Calibri"/>
          </w:rPr>
          <w:t xml:space="preserve">bolid.ru/support/study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hyperlink r:id="rId52">
        <w:r>
          <w:rPr>
            <w:color w:val="1155CC"/>
            <w:u w:val="single"/>
            <w:sz w:val="17"/>
            <w:rFonts w:ascii="Calibri" w:hAnsi="Calibri"/>
          </w:rPr>
          <w:t xml:space="preserve">bolid.ru/about/events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TRASSIR:</w:t>
      </w:r>
      <w:r>
        <w:rPr>
          <w:rFonts w:ascii="Calibri" w:hAnsi="Calibri"/>
          <w:color w:val="606A72"/>
          <w:sz w:val="17"/>
        </w:rPr>
        <w:t xml:space="preserve"> </w:t>
      </w:r>
      <w:hyperlink r:id="rId11">
        <w:r>
          <w:rPr>
            <w:color w:val="1155CC"/>
            <w:u w:val="single"/>
            <w:sz w:val="17"/>
            <w:rFonts w:ascii="Calibri" w:hAnsi="Calibri"/>
          </w:rPr>
          <w:t xml:space="preserve">dssl.ru/info/events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hyperlink r:id="rId53">
        <w:r>
          <w:rPr>
            <w:color w:val="1155CC"/>
            <w:u w:val="single"/>
            <w:sz w:val="17"/>
            <w:rFonts w:ascii="Calibri" w:hAnsi="Calibri"/>
          </w:rPr>
          <w:t xml:space="preserve">learn.dssl.ru</w:t>
        </w:r>
      </w:hyperlink>
    </w:p>
    <w:p>
      <w:pPr>
        <w:spacing w:after="20"/>
      </w:pPr>
      <w:r>
        <w:rPr>
          <w:rFonts w:ascii="Calibri" w:hAnsi="Calibri"/>
          <w:color w:val="606A72"/>
          <w:sz w:val="17"/>
        </w:rPr>
        <w:t>•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Аргус-Спектр:</w:t>
      </w:r>
      <w:r>
        <w:rPr>
          <w:rFonts w:ascii="Calibri" w:hAnsi="Calibri"/>
          <w:color w:val="606A72"/>
          <w:sz w:val="17"/>
        </w:rPr>
        <w:t xml:space="preserve"> </w:t>
      </w:r>
      <w:hyperlink r:id="rId13">
        <w:r>
          <w:rPr>
            <w:color w:val="1155CC"/>
            <w:u w:val="single"/>
            <w:sz w:val="17"/>
            <w:rFonts w:ascii="Calibri" w:hAnsi="Calibri"/>
          </w:rPr>
          <w:t xml:space="preserve">educ.argus-spectr.ru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Рубеж:</w:t>
      </w:r>
      <w:r>
        <w:rPr>
          <w:rFonts w:ascii="Calibri" w:hAnsi="Calibri"/>
          <w:color w:val="606A72"/>
          <w:sz w:val="17"/>
        </w:rPr>
        <w:t xml:space="preserve"> </w:t>
      </w:r>
      <w:hyperlink r:id="rId20">
        <w:r>
          <w:rPr>
            <w:color w:val="1155CC"/>
            <w:u w:val="single"/>
            <w:sz w:val="17"/>
            <w:rFonts w:ascii="Calibri" w:hAnsi="Calibri"/>
          </w:rPr>
          <w:t xml:space="preserve">projects.rubezh.ru/schedule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УЦ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ТАКИР:</w:t>
      </w:r>
      <w:r>
        <w:rPr>
          <w:rFonts w:ascii="Calibri" w:hAnsi="Calibri"/>
          <w:color w:val="606A72"/>
          <w:sz w:val="17"/>
        </w:rPr>
        <w:t xml:space="preserve"> </w:t>
      </w:r>
      <w:hyperlink r:id="rId44">
        <w:r>
          <w:rPr>
            <w:color w:val="1155CC"/>
            <w:u w:val="single"/>
            <w:sz w:val="17"/>
            <w:rFonts w:ascii="Calibri" w:hAnsi="Calibri"/>
          </w:rPr>
          <w:t xml:space="preserve">takir.ru/timetable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Macroscop:</w:t>
      </w:r>
      <w:r>
        <w:rPr>
          <w:rFonts w:ascii="Calibri" w:hAnsi="Calibri"/>
          <w:color w:val="606A72"/>
          <w:sz w:val="17"/>
        </w:rPr>
        <w:t xml:space="preserve"> </w:t>
      </w:r>
      <w:hyperlink r:id="rId22">
        <w:r>
          <w:rPr>
            <w:color w:val="1155CC"/>
            <w:u w:val="single"/>
            <w:sz w:val="17"/>
            <w:rFonts w:ascii="Calibri" w:hAnsi="Calibri"/>
          </w:rPr>
          <w:t xml:space="preserve">macroscop.com/podderzhka/seminars-and-webinars</w:t>
        </w:r>
      </w:hyperlink>
    </w:p>
    <w:p>
      <w:pPr>
        <w:spacing w:after="20"/>
      </w:pPr>
      <w:r>
        <w:rPr>
          <w:rFonts w:ascii="Calibri" w:hAnsi="Calibri"/>
          <w:color w:val="606A72"/>
          <w:sz w:val="17"/>
        </w:rPr>
        <w:t>•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ITV/AxxonSoft:</w:t>
      </w:r>
      <w:r>
        <w:rPr>
          <w:rFonts w:ascii="Calibri" w:hAnsi="Calibri"/>
          <w:color w:val="606A72"/>
          <w:sz w:val="17"/>
        </w:rPr>
        <w:t xml:space="preserve"> </w:t>
      </w:r>
      <w:hyperlink r:id="rId24">
        <w:r>
          <w:rPr>
            <w:color w:val="1155CC"/>
            <w:u w:val="single"/>
            <w:sz w:val="17"/>
            <w:rFonts w:ascii="Calibri" w:hAnsi="Calibri"/>
          </w:rPr>
          <w:t xml:space="preserve">itv.ru/support/training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Hikvision:</w:t>
      </w:r>
      <w:r>
        <w:rPr>
          <w:rFonts w:ascii="Calibri" w:hAnsi="Calibri"/>
          <w:color w:val="606A72"/>
          <w:sz w:val="17"/>
        </w:rPr>
        <w:t xml:space="preserve"> </w:t>
      </w:r>
      <w:hyperlink r:id="rId26">
        <w:r>
          <w:rPr>
            <w:color w:val="1155CC"/>
            <w:u w:val="single"/>
            <w:sz w:val="17"/>
            <w:rFonts w:ascii="Calibri" w:hAnsi="Calibri"/>
          </w:rPr>
          <w:t xml:space="preserve">hikvision.ru/training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Parsec:</w:t>
      </w:r>
      <w:r>
        <w:rPr>
          <w:rFonts w:ascii="Calibri" w:hAnsi="Calibri"/>
          <w:color w:val="606A72"/>
          <w:sz w:val="17"/>
        </w:rPr>
        <w:t xml:space="preserve"> </w:t>
      </w:r>
      <w:hyperlink r:id="rId28">
        <w:r>
          <w:rPr>
            <w:color w:val="1155CC"/>
            <w:u w:val="single"/>
            <w:sz w:val="17"/>
            <w:rFonts w:ascii="Calibri" w:hAnsi="Calibri"/>
          </w:rPr>
          <w:t xml:space="preserve">parsec.ru/training</w:t>
        </w:r>
      </w:hyperlink>
    </w:p>
    <w:p>
      <w:pPr>
        <w:spacing w:after="20"/>
      </w:pPr>
      <w:r>
        <w:rPr>
          <w:rFonts w:ascii="Calibri" w:hAnsi="Calibri"/>
          <w:color w:val="606A72"/>
          <w:sz w:val="17"/>
        </w:rPr>
        <w:t>•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АРМО:</w:t>
      </w:r>
      <w:r>
        <w:rPr>
          <w:rFonts w:ascii="Calibri" w:hAnsi="Calibri"/>
          <w:color w:val="606A72"/>
          <w:sz w:val="17"/>
        </w:rPr>
        <w:t xml:space="preserve"> </w:t>
      </w:r>
      <w:hyperlink r:id="rId35">
        <w:r>
          <w:rPr>
            <w:color w:val="1155CC"/>
            <w:u w:val="single"/>
            <w:sz w:val="17"/>
            <w:rFonts w:ascii="Calibri" w:hAnsi="Calibri"/>
          </w:rPr>
          <w:t xml:space="preserve">armosystems.ru/events/webinar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ТИНКО:</w:t>
      </w:r>
      <w:r>
        <w:rPr>
          <w:rFonts w:ascii="Calibri" w:hAnsi="Calibri"/>
          <w:color w:val="606A72"/>
          <w:sz w:val="17"/>
        </w:rPr>
        <w:t xml:space="preserve"> </w:t>
      </w:r>
      <w:hyperlink r:id="rId14">
        <w:r>
          <w:rPr>
            <w:color w:val="1155CC"/>
            <w:u w:val="single"/>
            <w:sz w:val="17"/>
            <w:rFonts w:ascii="Calibri" w:hAnsi="Calibri"/>
          </w:rPr>
          <w:t xml:space="preserve">tinko.ru/webinars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Лайта:</w:t>
      </w:r>
      <w:r>
        <w:rPr>
          <w:rFonts w:ascii="Calibri" w:hAnsi="Calibri"/>
          <w:color w:val="606A72"/>
          <w:sz w:val="17"/>
        </w:rPr>
        <w:t xml:space="preserve"> </w:t>
      </w:r>
      <w:hyperlink r:id="rId54">
        <w:r>
          <w:rPr>
            <w:color w:val="1155CC"/>
            <w:u w:val="single"/>
            <w:sz w:val="17"/>
            <w:rFonts w:ascii="Calibri" w:hAnsi="Calibri"/>
          </w:rPr>
          <w:t xml:space="preserve">connect.layta.ru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IEK:</w:t>
      </w:r>
      <w:r>
        <w:rPr>
          <w:rFonts w:ascii="Calibri" w:hAnsi="Calibri"/>
          <w:color w:val="606A72"/>
          <w:sz w:val="17"/>
        </w:rPr>
        <w:t xml:space="preserve"> </w:t>
      </w:r>
      <w:hyperlink r:id="rId41">
        <w:r>
          <w:rPr>
            <w:color w:val="1155CC"/>
            <w:u w:val="single"/>
            <w:sz w:val="17"/>
            <w:rFonts w:ascii="Calibri" w:hAnsi="Calibri"/>
          </w:rPr>
          <w:t xml:space="preserve">univer.iek.group/webinars</w:t>
        </w:r>
      </w:hyperlink>
    </w:p>
    <w:p>
      <w:pPr>
        <w:spacing w:after="20"/>
      </w:pPr>
      <w:r>
        <w:rPr>
          <w:rFonts w:ascii="Calibri" w:hAnsi="Calibri"/>
          <w:color w:val="606A72"/>
          <w:sz w:val="17"/>
        </w:rPr>
        <w:t>•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Ростелеком:</w:t>
      </w:r>
      <w:r>
        <w:rPr>
          <w:rFonts w:ascii="Calibri" w:hAnsi="Calibri"/>
          <w:color w:val="606A72"/>
          <w:sz w:val="17"/>
        </w:rPr>
        <w:t xml:space="preserve"> </w:t>
      </w:r>
      <w:hyperlink r:id="rId55">
        <w:r>
          <w:rPr>
            <w:color w:val="1155CC"/>
            <w:u w:val="single"/>
            <w:sz w:val="17"/>
            <w:rFonts w:ascii="Calibri" w:hAnsi="Calibri"/>
          </w:rPr>
          <w:t xml:space="preserve">volga.news/article/780983.html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IDIS:</w:t>
      </w:r>
      <w:r>
        <w:rPr>
          <w:rFonts w:ascii="Calibri" w:hAnsi="Calibri"/>
          <w:color w:val="606A72"/>
          <w:sz w:val="17"/>
        </w:rPr>
        <w:t xml:space="preserve"> </w:t>
      </w:r>
      <w:hyperlink r:id="rId56">
        <w:r>
          <w:rPr>
            <w:color w:val="1155CC"/>
            <w:u w:val="single"/>
            <w:sz w:val="17"/>
            <w:rFonts w:ascii="Calibri" w:hAnsi="Calibri"/>
          </w:rPr>
          <w:t xml:space="preserve">cisoclub.ru/vebinar-idis-kiberbezopasnoe-nabljudenie</w:t>
        </w:r>
      </w:hyperlink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·</w:t>
      </w:r>
      <w:r>
        <w:rPr>
          <w:rFonts w:ascii="Calibri" w:hAnsi="Calibri"/>
          <w:color w:val="606A72"/>
          <w:sz w:val="17"/>
        </w:rPr>
        <w:t xml:space="preserve"> </w:t>
      </w:r>
      <w:r>
        <w:rPr>
          <w:rFonts w:ascii="Calibri" w:hAnsi="Calibri"/>
          <w:color w:val="606A72"/>
          <w:sz w:val="17"/>
        </w:rPr>
        <w:t>МОНТРАНС:</w:t>
      </w:r>
      <w:r>
        <w:rPr>
          <w:rFonts w:ascii="Calibri" w:hAnsi="Calibri"/>
          <w:color w:val="606A72"/>
          <w:sz w:val="17"/>
        </w:rPr>
        <w:t xml:space="preserve"> </w:t>
      </w:r>
      <w:hyperlink r:id="rId57">
        <w:r>
          <w:rPr>
            <w:color w:val="1155CC"/>
            <w:u w:val="single"/>
            <w:sz w:val="17"/>
            <w:rFonts w:ascii="Calibri" w:hAnsi="Calibri"/>
          </w:rPr>
          <w:t xml:space="preserve">montrans.ru/events</w:t>
        </w:r>
      </w:hyperlink>
    </w:p>
    <w:p>
      <w:pPr>
        <w:spacing w:before="200"/>
      </w:pPr>
      <w:r>
        <w:rPr>
          <w:i/>
          <w:color w:val="606A72"/>
          <w:sz w:val="17"/>
        </w:rPr>
        <w:t>Спикеры части онлайн-конференций (Гротек / Secuteck) публикуются ближе к дате. Даты и спикеры взяты со страниц-анонсов на июль 2026.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8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secuteck.ru/confex" TargetMode="External"/><Relationship Id="rId11" Type="http://schemas.openxmlformats.org/officeDocument/2006/relationships/hyperlink" Target="https://dssl.ru/info/events" TargetMode="External"/><Relationship Id="rId12" Type="http://schemas.openxmlformats.org/officeDocument/2006/relationships/hyperlink" Target="https://bolid.ru/support/study" TargetMode="External"/><Relationship Id="rId13" Type="http://schemas.openxmlformats.org/officeDocument/2006/relationships/hyperlink" Target="https://educ.argus-spectr.ru" TargetMode="External"/><Relationship Id="rId14" Type="http://schemas.openxmlformats.org/officeDocument/2006/relationships/hyperlink" Target="https://tinko.ru/webinars" TargetMode="External"/><Relationship Id="rId15" Type="http://schemas.openxmlformats.org/officeDocument/2006/relationships/hyperlink" Target="https://bolid.ru" TargetMode="External"/><Relationship Id="rId16" Type="http://schemas.openxmlformats.org/officeDocument/2006/relationships/hyperlink" Target="https://bolid.ru/support/study/webinars" TargetMode="External"/><Relationship Id="rId17" Type="http://schemas.openxmlformats.org/officeDocument/2006/relationships/hyperlink" Target="https://dssl.ru" TargetMode="External"/><Relationship Id="rId18" Type="http://schemas.openxmlformats.org/officeDocument/2006/relationships/hyperlink" Target="https://argus-spectr.ru" TargetMode="External"/><Relationship Id="rId19" Type="http://schemas.openxmlformats.org/officeDocument/2006/relationships/hyperlink" Target="https://rubezh.ru" TargetMode="External"/><Relationship Id="rId20" Type="http://schemas.openxmlformats.org/officeDocument/2006/relationships/hyperlink" Target="https://projects.rubezh.ru/schedule" TargetMode="External"/><Relationship Id="rId21" Type="http://schemas.openxmlformats.org/officeDocument/2006/relationships/hyperlink" Target="https://macroscop.com" TargetMode="External"/><Relationship Id="rId22" Type="http://schemas.openxmlformats.org/officeDocument/2006/relationships/hyperlink" Target="https://macroscop.com/podderzhka/seminars-and-webinars" TargetMode="External"/><Relationship Id="rId23" Type="http://schemas.openxmlformats.org/officeDocument/2006/relationships/hyperlink" Target="https://itv.ru" TargetMode="External"/><Relationship Id="rId24" Type="http://schemas.openxmlformats.org/officeDocument/2006/relationships/hyperlink" Target="https://itv.ru/support/training" TargetMode="External"/><Relationship Id="rId25" Type="http://schemas.openxmlformats.org/officeDocument/2006/relationships/hyperlink" Target="https://hikvision.ru" TargetMode="External"/><Relationship Id="rId26" Type="http://schemas.openxmlformats.org/officeDocument/2006/relationships/hyperlink" Target="https://hikvision.ru/training" TargetMode="External"/><Relationship Id="rId27" Type="http://schemas.openxmlformats.org/officeDocument/2006/relationships/hyperlink" Target="https://parsec.ru" TargetMode="External"/><Relationship Id="rId28" Type="http://schemas.openxmlformats.org/officeDocument/2006/relationships/hyperlink" Target="https://parsec.ru/training" TargetMode="External"/><Relationship Id="rId29" Type="http://schemas.openxmlformats.org/officeDocument/2006/relationships/hyperlink" Target="https://idisglobal.com" TargetMode="External"/><Relationship Id="rId30" Type="http://schemas.openxmlformats.org/officeDocument/2006/relationships/hyperlink" Target="https://global.uniview.com" TargetMode="External"/><Relationship Id="rId31" Type="http://schemas.openxmlformats.org/officeDocument/2006/relationships/hyperlink" Target="https://eridan.ru" TargetMode="External"/><Relationship Id="rId32" Type="http://schemas.openxmlformats.org/officeDocument/2006/relationships/hyperlink" Target="https://eridan.ru/press-center/news" TargetMode="External"/><Relationship Id="rId33" Type="http://schemas.openxmlformats.org/officeDocument/2006/relationships/hyperlink" Target="https://tinko.ru" TargetMode="External"/><Relationship Id="rId34" Type="http://schemas.openxmlformats.org/officeDocument/2006/relationships/hyperlink" Target="https://armosystems.ru" TargetMode="External"/><Relationship Id="rId35" Type="http://schemas.openxmlformats.org/officeDocument/2006/relationships/hyperlink" Target="https://armosystems.ru/events/webinar" TargetMode="External"/><Relationship Id="rId36" Type="http://schemas.openxmlformats.org/officeDocument/2006/relationships/hyperlink" Target="https://satro-paladin.com" TargetMode="External"/><Relationship Id="rId37" Type="http://schemas.openxmlformats.org/officeDocument/2006/relationships/hyperlink" Target="https://satro-paladin.com/about/webinars" TargetMode="External"/><Relationship Id="rId38" Type="http://schemas.openxmlformats.org/officeDocument/2006/relationships/hyperlink" Target="https://etm.ru" TargetMode="External"/><Relationship Id="rId39" Type="http://schemas.openxmlformats.org/officeDocument/2006/relationships/hyperlink" Target="https://etm.ru/company/etm-academy" TargetMode="External"/><Relationship Id="rId40" Type="http://schemas.openxmlformats.org/officeDocument/2006/relationships/hyperlink" Target="https://iek.ru" TargetMode="External"/><Relationship Id="rId41" Type="http://schemas.openxmlformats.org/officeDocument/2006/relationships/hyperlink" Target="https://univer.iek.group/webinars" TargetMode="External"/><Relationship Id="rId42" Type="http://schemas.openxmlformats.org/officeDocument/2006/relationships/hyperlink" Target="https://secuteck.ru" TargetMode="External"/><Relationship Id="rId43" Type="http://schemas.openxmlformats.org/officeDocument/2006/relationships/hyperlink" Target="https://takir.ru" TargetMode="External"/><Relationship Id="rId44" Type="http://schemas.openxmlformats.org/officeDocument/2006/relationships/hyperlink" Target="https://takir.ru/timetable" TargetMode="External"/><Relationship Id="rId45" Type="http://schemas.openxmlformats.org/officeDocument/2006/relationships/hyperlink" Target="https://k2.tech" TargetMode="External"/><Relationship Id="rId46" Type="http://schemas.openxmlformats.org/officeDocument/2006/relationships/hyperlink" Target="https://k2.tech/events" TargetMode="External"/><Relationship Id="rId47" Type="http://schemas.openxmlformats.org/officeDocument/2006/relationships/hyperlink" Target="https://rt.ru" TargetMode="External"/><Relationship Id="rId48" Type="http://schemas.openxmlformats.org/officeDocument/2006/relationships/hyperlink" Target="https://cnconf.ru" TargetMode="External"/><Relationship Id="rId49" Type="http://schemas.openxmlformats.org/officeDocument/2006/relationships/hyperlink" Target="https://promo.k2.tech/vebinar-kompleksnaya-prombezopasnost" TargetMode="External"/><Relationship Id="rId50" Type="http://schemas.openxmlformats.org/officeDocument/2006/relationships/hyperlink" Target="https://www.secuteck.ru/calendar" TargetMode="External"/><Relationship Id="rId51" Type="http://schemas.openxmlformats.org/officeDocument/2006/relationships/hyperlink" Target="https://www.secuteck.ru/news" TargetMode="External"/><Relationship Id="rId52" Type="http://schemas.openxmlformats.org/officeDocument/2006/relationships/hyperlink" Target="https://bolid.ru/about/events" TargetMode="External"/><Relationship Id="rId53" Type="http://schemas.openxmlformats.org/officeDocument/2006/relationships/hyperlink" Target="https://learn.dssl.ru" TargetMode="External"/><Relationship Id="rId54" Type="http://schemas.openxmlformats.org/officeDocument/2006/relationships/hyperlink" Target="https://connect.layta.ru" TargetMode="External"/><Relationship Id="rId55" Type="http://schemas.openxmlformats.org/officeDocument/2006/relationships/hyperlink" Target="https://volga.news/article/780983.html" TargetMode="External"/><Relationship Id="rId56" Type="http://schemas.openxmlformats.org/officeDocument/2006/relationships/hyperlink" Target="https://cisoclub.ru/vebinar-idis-kiberbezopasnoe-nabljudenie" TargetMode="External"/><Relationship Id="rId57" Type="http://schemas.openxmlformats.org/officeDocument/2006/relationships/hyperlink" Target="https://montrans.ru/ev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