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1554480" cy="527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i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527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rPr>
          <w:rFonts w:ascii="Calibri" w:hAnsi="Calibri"/>
          <w:b/>
          <w:i w:val="0"/>
          <w:color w:val="22262A"/>
          <w:sz w:val="48"/>
        </w:rPr>
        <w:t>Sales Kit LUIS+</w:t>
      </w:r>
    </w:p>
    <w:p>
      <w:pPr>
        <w:spacing w:after="40"/>
      </w:pPr>
      <w:r>
        <w:rPr>
          <w:rFonts w:ascii="Calibri" w:hAnsi="Calibri"/>
          <w:b w:val="0"/>
          <w:i w:val="0"/>
          <w:color w:val="6B7278"/>
          <w:sz w:val="22"/>
        </w:rPr>
        <w:t>Фактура и референсы для отдела продаж: как устроена база знаний, дорожная карта и работа с возражениями</w:t>
      </w:r>
    </w:p>
    <w:p>
      <w:pPr>
        <w:spacing w:after="80"/>
      </w:pPr>
      <w:r>
        <w:rPr>
          <w:rFonts w:ascii="Calibri" w:hAnsi="Calibri"/>
          <w:b w:val="0"/>
          <w:i/>
          <w:color w:val="7D98AB"/>
          <w:sz w:val="18"/>
        </w:rPr>
        <w:t>Подготовлено для внутреннего использования · Этап: сбор фактуры · Июль 2026</w:t>
      </w:r>
    </w:p>
    <w:p>
      <w:pPr>
        <w:spacing w:after="40"/>
      </w:pPr>
      <w:r>
        <w:rPr>
          <w:rFonts w:ascii="Calibri" w:hAnsi="Calibri"/>
          <w:b w:val="0"/>
          <w:i w:val="0"/>
          <w:color w:val="22262A"/>
          <w:sz w:val="21"/>
        </w:rPr>
        <w:t>Задача: превратить разрозненные материалы (буклет, презентации, КП) в единую систему — дорожную карту, по которой менеджер понимает, что говорить, какой документ дать клиенту и в какой последовательности. Ниже — терминология, модели организации, готовые референсы и рекомендация.</w:t>
      </w:r>
    </w:p>
    <w:p>
      <w:pPr>
        <w:spacing w:before="320" w:after="80"/>
        <w:pBdr>
          <w:bottom w:val="single" w:sz="12" w:space="4" w:color="BE1730"/>
        </w:pBdr>
      </w:pPr>
      <w:r>
        <w:rPr>
          <w:rFonts w:ascii="Calibri" w:hAnsi="Calibri"/>
          <w:b/>
          <w:i w:val="0"/>
          <w:color w:val="22262A"/>
          <w:sz w:val="30"/>
        </w:rPr>
        <w:t>1. Как это называется — термины для ТЗ и поиска</w:t>
      </w:r>
    </w:p>
    <w:p>
      <w:pPr>
        <w:spacing w:after="80"/>
      </w:pPr>
      <w:r>
        <w:rPr>
          <w:rFonts w:ascii="Calibri" w:hAnsi="Calibri"/>
          <w:b w:val="0"/>
          <w:i w:val="0"/>
          <w:color w:val="22262A"/>
          <w:sz w:val="21"/>
        </w:rPr>
        <w:t>То, что нужно LUIS+, на рынке описывают тремя связанными терминами. Знать полезно все три — они дают разную выдачу и разные примеры.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2"/>
          <w:left w:val="single" w:sz="4" w:space="0" w:color="D9DEE2"/>
          <w:bottom w:val="single" w:sz="4" w:space="0" w:color="D9DEE2"/>
          <w:right w:val="single" w:sz="4" w:space="0" w:color="D9DEE2"/>
          <w:insideH w:val="single" w:sz="4" w:space="0" w:color="D9DEE2"/>
          <w:insideV w:val="single" w:sz="4" w:space="0" w:color="D9DEE2"/>
        </w:tblBorders>
      </w:tblPr>
      <w:tblGrid>
        <w:gridCol w:w="3324"/>
        <w:gridCol w:w="3324"/>
        <w:gridCol w:w="3324"/>
      </w:tblGrid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BE173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BE173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означает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BE173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Наш акцент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62A"/>
                <w:sz w:val="19"/>
              </w:rPr>
              <w:t>Sales Playbook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62A"/>
                <w:sz w:val="19"/>
              </w:rPr>
              <w:t>«Сценарий» продаж: этапы, скрипты, что говорить и давать на каждом шаге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62A"/>
                <w:sz w:val="19"/>
              </w:rPr>
              <w:t>Дорожная карта + возражения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62A"/>
                <w:sz w:val="19"/>
              </w:rPr>
              <w:t>Sales Enablement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62A"/>
                <w:sz w:val="19"/>
              </w:rPr>
              <w:t>Система вооружения продавца материалами + обучение + аналитика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62A"/>
                <w:sz w:val="19"/>
              </w:rPr>
              <w:t>База знаний, где всё лежит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62A"/>
                <w:sz w:val="19"/>
              </w:rPr>
              <w:t>Digital Sales Room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62A"/>
                <w:sz w:val="19"/>
              </w:rPr>
              <w:t>Персональная веб-комната для клиента, куда выкладывают файлы в нужном порядке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62A"/>
                <w:sz w:val="19"/>
              </w:rPr>
              <w:t>«Что и когда давать клиенту»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 w:val="0"/>
          <w:color w:val="22262A"/>
          <w:sz w:val="21"/>
        </w:rPr>
        <w:t xml:space="preserve">Итог: ваш запрос = </w:t>
      </w:r>
      <w:r>
        <w:rPr>
          <w:rFonts w:ascii="Calibri" w:hAnsi="Calibri"/>
          <w:b/>
          <w:i w:val="0"/>
          <w:color w:val="22262A"/>
          <w:sz w:val="21"/>
        </w:rPr>
        <w:t>Playbook (логика) + Enablement-база (хранилище) + опционально Digital Sales Room (выдача клиенту).</w:t>
      </w:r>
    </w:p>
    <w:p>
      <w:pPr>
        <w:spacing w:before="320" w:after="80"/>
        <w:pBdr>
          <w:bottom w:val="single" w:sz="12" w:space="4" w:color="BE1730"/>
        </w:pBdr>
      </w:pPr>
      <w:r>
        <w:rPr>
          <w:rFonts w:ascii="Calibri" w:hAnsi="Calibri"/>
          <w:b/>
          <w:i w:val="0"/>
          <w:color w:val="22262A"/>
          <w:sz w:val="30"/>
        </w:rPr>
        <w:t>2. Три модели организации — с живыми примерами</w:t>
      </w:r>
    </w:p>
    <w:p>
      <w:pPr>
        <w:spacing w:before="200" w:after="60"/>
      </w:pPr>
      <w:r>
        <w:rPr>
          <w:rFonts w:ascii="Calibri" w:hAnsi="Calibri"/>
          <w:b/>
          <w:i w:val="0"/>
          <w:color w:val="BE1730"/>
          <w:sz w:val="23"/>
        </w:rPr>
        <w:t>А. База знаний внутри CRM — самый быстрый путь</w:t>
      </w:r>
    </w:p>
    <w:p>
      <w:pPr>
        <w:spacing w:after="40"/>
      </w:pPr>
      <w:r>
        <w:rPr>
          <w:rFonts w:ascii="Calibri" w:hAnsi="Calibri"/>
          <w:b w:val="0"/>
          <w:i w:val="0"/>
          <w:color w:val="22262A"/>
          <w:sz w:val="20"/>
        </w:rPr>
        <w:t>Если у LUIS+ уже есть CRM (Битрикс24 / amoCRM) — база знаний собирается внутри неё, а регламенты видны прямо в карточке сделки.</w:t>
      </w:r>
    </w:p>
    <w:p>
      <w:pPr>
        <w:pStyle w:val="ListBullet"/>
        <w:spacing w:after="40"/>
        <w:ind w:left="360"/>
      </w:pPr>
      <w:hyperlink r:id="rId10">
        <w:r>
          <w:rPr>
            <w:color w:val="BE1730"/>
            <w:u w:val="single"/>
            <w:rFonts w:ascii="Calibri" w:hAnsi="Calibri"/>
            <w:sz w:val="20"/>
          </w:rPr>
          <w:t xml:space="preserve">KISLOROD: База знаний в Битрикс24</w:t>
        </w:r>
      </w:hyperlink>
      <w:r>
        <w:rPr>
          <w:rFonts w:ascii="Calibri" w:hAnsi="Calibri"/>
          <w:b w:val="0"/>
          <w:i w:val="0"/>
          <w:color w:val="6B7278"/>
          <w:sz w:val="20"/>
        </w:rPr>
        <w:t xml:space="preserve"> — структура, права доступа, встраивание в сделку</w:t>
      </w:r>
    </w:p>
    <w:p>
      <w:pPr>
        <w:pStyle w:val="ListBullet"/>
        <w:spacing w:after="40"/>
        <w:ind w:left="360"/>
      </w:pPr>
      <w:hyperlink r:id="rId11">
        <w:r>
          <w:rPr>
            <w:color w:val="BE1730"/>
            <w:u w:val="single"/>
            <w:rFonts w:ascii="Calibri" w:hAnsi="Calibri"/>
            <w:sz w:val="20"/>
          </w:rPr>
          <w:t xml:space="preserve">PinscherCRM: инструкция с примерами</w:t>
        </w:r>
      </w:hyperlink>
      <w:r>
        <w:rPr>
          <w:rFonts w:ascii="Calibri" w:hAnsi="Calibri"/>
          <w:b w:val="0"/>
          <w:i w:val="0"/>
          <w:color w:val="6B7278"/>
          <w:sz w:val="20"/>
        </w:rPr>
        <w:t xml:space="preserve"> — как отдел продаж ведёт скрипты и регламенты</w:t>
      </w:r>
    </w:p>
    <w:p>
      <w:pPr>
        <w:pStyle w:val="ListBullet"/>
        <w:spacing w:after="40"/>
        <w:ind w:left="360"/>
      </w:pPr>
      <w:hyperlink r:id="rId12">
        <w:r>
          <w:rPr>
            <w:color w:val="BE1730"/>
            <w:u w:val="single"/>
            <w:rFonts w:ascii="Calibri" w:hAnsi="Calibri"/>
            <w:sz w:val="20"/>
          </w:rPr>
          <w:t xml:space="preserve">Битрикс24: официальный гайд «Начало работы»</w:t>
        </w:r>
      </w:hyperlink>
    </w:p>
    <w:p>
      <w:pPr>
        <w:spacing w:after="40"/>
        <w:ind w:left="360"/>
      </w:pPr>
      <w:r>
        <w:rPr>
          <w:rFonts w:ascii="Calibri" w:hAnsi="Calibri"/>
          <w:b w:val="0"/>
          <w:i/>
          <w:color w:val="6B7278"/>
          <w:sz w:val="19"/>
        </w:rPr>
        <w:t>Фишка: вкладка «Регламенты» в карточке Лида/Сделки — менеджер видит инструкцию по шагу, не выходя из сделки.</w:t>
      </w:r>
    </w:p>
    <w:p>
      <w:pPr>
        <w:spacing w:before="200" w:after="60"/>
      </w:pPr>
      <w:r>
        <w:rPr>
          <w:rFonts w:ascii="Calibri" w:hAnsi="Calibri"/>
          <w:b/>
          <w:i w:val="0"/>
          <w:color w:val="BE1730"/>
          <w:sz w:val="23"/>
        </w:rPr>
        <w:t>Б. LMS — если нужно не просто справка, а обучение с проверкой</w:t>
      </w:r>
    </w:p>
    <w:p>
      <w:pPr>
        <w:pStyle w:val="ListBullet"/>
        <w:spacing w:after="40"/>
        <w:ind w:left="360"/>
      </w:pPr>
      <w:hyperlink r:id="rId13">
        <w:r>
          <w:rPr>
            <w:color w:val="BE1730"/>
            <w:u w:val="single"/>
            <w:rFonts w:ascii="Calibri" w:hAnsi="Calibri"/>
            <w:sz w:val="20"/>
          </w:rPr>
          <w:t xml:space="preserve">iSpring Learn: база знаний компании</w:t>
        </w:r>
      </w:hyperlink>
      <w:r>
        <w:rPr>
          <w:rFonts w:ascii="Calibri" w:hAnsi="Calibri"/>
          <w:b w:val="0"/>
          <w:i w:val="0"/>
          <w:color w:val="6B7278"/>
          <w:sz w:val="20"/>
        </w:rPr>
        <w:t xml:space="preserve"> — траектории обучения, тесты, микрокурсы по 10–15 мин</w:t>
      </w:r>
    </w:p>
    <w:p>
      <w:pPr>
        <w:spacing w:after="40"/>
        <w:ind w:left="360"/>
      </w:pPr>
      <w:r>
        <w:rPr>
          <w:rFonts w:ascii="Calibri" w:hAnsi="Calibri"/>
          <w:b w:val="0"/>
          <w:i/>
          <w:color w:val="6B7278"/>
          <w:sz w:val="19"/>
        </w:rPr>
        <w:t>Кейсы: сокращение онбординга менеджера с 8 до 3 недель. Актуально при найме/масштабировании отдела.</w:t>
      </w:r>
    </w:p>
    <w:p>
      <w:pPr>
        <w:spacing w:before="200" w:after="60"/>
      </w:pPr>
      <w:r>
        <w:rPr>
          <w:rFonts w:ascii="Calibri" w:hAnsi="Calibri"/>
          <w:b/>
          <w:i w:val="0"/>
          <w:color w:val="BE1730"/>
          <w:sz w:val="23"/>
        </w:rPr>
        <w:t>В. Западные Sales Enablement платформы — референс «как в идеале»</w:t>
      </w:r>
    </w:p>
    <w:p>
      <w:pPr>
        <w:spacing w:after="40"/>
      </w:pPr>
      <w:r>
        <w:rPr>
          <w:rFonts w:ascii="Calibri" w:hAnsi="Calibri"/>
          <w:b w:val="0"/>
          <w:i w:val="0"/>
          <w:color w:val="22262A"/>
          <w:sz w:val="20"/>
        </w:rPr>
        <w:t>Покупать не нужно — смотреть на логику витрины: карточки-плейбуки, привязка контента к этапу сделки, аналитика «что открыл клиент».</w:t>
      </w:r>
    </w:p>
    <w:p>
      <w:pPr>
        <w:pStyle w:val="ListBullet"/>
        <w:spacing w:after="40"/>
        <w:ind w:left="360"/>
      </w:pPr>
      <w:hyperlink r:id="rId14">
        <w:r>
          <w:rPr>
            <w:color w:val="BE1730"/>
            <w:u w:val="single"/>
            <w:rFonts w:ascii="Calibri" w:hAnsi="Calibri"/>
            <w:sz w:val="20"/>
          </w:rPr>
          <w:t xml:space="preserve">Highspot — привязка материалов к воронке</w:t>
        </w:r>
      </w:hyperlink>
    </w:p>
    <w:p>
      <w:pPr>
        <w:pStyle w:val="ListBullet"/>
        <w:spacing w:after="40"/>
        <w:ind w:left="360"/>
      </w:pPr>
      <w:hyperlink r:id="rId15">
        <w:r>
          <w:rPr>
            <w:color w:val="BE1730"/>
            <w:u w:val="single"/>
            <w:rFonts w:ascii="Calibri" w:hAnsi="Calibri"/>
            <w:sz w:val="20"/>
          </w:rPr>
          <w:t xml:space="preserve">Seismic — Sales Playbooks 101</w:t>
        </w:r>
      </w:hyperlink>
    </w:p>
    <w:p>
      <w:pPr>
        <w:pStyle w:val="ListBullet"/>
        <w:spacing w:after="40"/>
        <w:ind w:left="360"/>
      </w:pPr>
      <w:hyperlink r:id="rId16">
        <w:r>
          <w:rPr>
            <w:color w:val="BE1730"/>
            <w:u w:val="single"/>
            <w:rFonts w:ascii="Calibri" w:hAnsi="Calibri"/>
            <w:sz w:val="20"/>
          </w:rPr>
          <w:t xml:space="preserve">Dock — Digital Sales Room (комната для клиента)</w:t>
        </w:r>
      </w:hyperlink>
    </w:p>
    <w:p>
      <w:pPr>
        <w:pStyle w:val="ListBullet"/>
        <w:spacing w:after="40"/>
        <w:ind w:left="360"/>
      </w:pPr>
      <w:hyperlink r:id="rId17">
        <w:r>
          <w:rPr>
            <w:color w:val="BE1730"/>
            <w:u w:val="single"/>
            <w:rFonts w:ascii="Calibri" w:hAnsi="Calibri"/>
            <w:sz w:val="20"/>
          </w:rPr>
          <w:t xml:space="preserve">Trumpet — выдать материалы клиенту одной ссылкой + трекинг просмотров</w:t>
        </w:r>
      </w:hyperlink>
    </w:p>
    <w:p>
      <w:pPr>
        <w:spacing w:before="320" w:after="80"/>
        <w:pBdr>
          <w:bottom w:val="single" w:sz="12" w:space="4" w:color="BE1730"/>
        </w:pBdr>
      </w:pPr>
      <w:r>
        <w:rPr>
          <w:rFonts w:ascii="Calibri" w:hAnsi="Calibri"/>
          <w:b/>
          <w:i w:val="0"/>
          <w:color w:val="22262A"/>
          <w:sz w:val="30"/>
        </w:rPr>
        <w:t>3. Анатомия playbook — скелет, который наполняем под LUIS+</w:t>
      </w:r>
    </w:p>
    <w:p>
      <w:pPr>
        <w:spacing w:after="80"/>
      </w:pPr>
      <w:r>
        <w:rPr>
          <w:rFonts w:ascii="Calibri" w:hAnsi="Calibri"/>
          <w:b w:val="0"/>
          <w:i w:val="0"/>
          <w:color w:val="22262A"/>
          <w:sz w:val="21"/>
        </w:rPr>
        <w:t>Это и есть «скрипт, но не один документ»: система шагов, где к каждому этапу привязаны слова, материалы и следующее действие.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2262A"/>
          <w:sz w:val="21"/>
        </w:rPr>
        <w:t>1. Дорожная карта воронки</w:t>
      </w:r>
    </w:p>
    <w:p>
      <w:pPr>
        <w:spacing w:after="40"/>
        <w:ind w:left="720"/>
      </w:pPr>
      <w:r>
        <w:rPr>
          <w:rFonts w:ascii="Calibri" w:hAnsi="Calibri"/>
          <w:b/>
          <w:i w:val="0"/>
          <w:color w:val="7D98AB"/>
          <w:sz w:val="20"/>
        </w:rPr>
        <w:t>Квалификация → Выявление боли → Презентация → КП → Возражения → Закрытие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2262A"/>
          <w:sz w:val="21"/>
        </w:rPr>
        <w:t xml:space="preserve">2. На каждом этапе — 3 колонки: </w:t>
      </w:r>
      <w:r>
        <w:rPr>
          <w:rFonts w:ascii="Calibri" w:hAnsi="Calibri"/>
          <w:b w:val="0"/>
          <w:i w:val="0"/>
          <w:color w:val="6B7278"/>
          <w:sz w:val="21"/>
        </w:rPr>
        <w:t>что говорить · какой файл дать клиенту · следующий шаг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2262A"/>
          <w:sz w:val="21"/>
        </w:rPr>
        <w:t>3. Привязка материалов к стадии готовности клиента:</w:t>
      </w:r>
    </w:p>
    <w:p>
      <w:pPr>
        <w:spacing w:after="40"/>
        <w:ind w:left="720"/>
      </w:pPr>
      <w:r>
        <w:rPr>
          <w:rFonts w:ascii="Calibri" w:hAnsi="Calibri"/>
          <w:b w:val="0"/>
          <w:i w:val="0"/>
          <w:color w:val="22262A"/>
          <w:sz w:val="19"/>
        </w:rPr>
        <w:t>Awareness → буклет, статьи, инфографика   ·   Consideration → сравнения, кейсы, видео   ·   Decision → расчёт ROI, отзывы, договор</w:t>
      </w:r>
    </w:p>
    <w:p>
      <w:pPr>
        <w:spacing w:after="80"/>
        <w:ind w:left="720"/>
      </w:pPr>
      <w:r>
        <w:rPr>
          <w:rFonts w:ascii="Calibri" w:hAnsi="Calibri"/>
          <w:b w:val="0"/>
          <w:i/>
          <w:color w:val="BE1730"/>
          <w:sz w:val="19"/>
        </w:rPr>
        <w:t>Decision — самое слабое место у 90% компаний. Сюда кладём кейсы: 78% B2B-покупателей принимают решение именно по верифицируемым кейсам.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2262A"/>
          <w:sz w:val="21"/>
        </w:rPr>
        <w:t>4. Battle Cards</w:t>
      </w:r>
      <w:r>
        <w:rPr>
          <w:rFonts w:ascii="Calibri" w:hAnsi="Calibri"/>
          <w:b w:val="0"/>
          <w:i w:val="0"/>
          <w:color w:val="22262A"/>
          <w:sz w:val="21"/>
        </w:rPr>
        <w:t xml:space="preserve"> — одностраничники по конкурентам: когда мы выигрываем · где проигрываем · как переформулировать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22262A"/>
          <w:sz w:val="20"/>
        </w:rPr>
        <w:t xml:space="preserve">       </w:t>
      </w:r>
      <w:hyperlink r:id="rId18">
        <w:r>
          <w:rPr>
            <w:color w:val="BE1730"/>
            <w:u w:val="single"/>
            <w:rFonts w:ascii="Calibri" w:hAnsi="Calibri"/>
            <w:sz w:val="20"/>
          </w:rPr>
          <w:t xml:space="preserve">Klue — шаблон battle card с возражениями</w:t>
        </w:r>
      </w:hyperlink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22262A"/>
          <w:sz w:val="20"/>
        </w:rPr>
        <w:t xml:space="preserve">       </w:t>
      </w:r>
      <w:hyperlink r:id="rId19">
        <w:r>
          <w:rPr>
            <w:color w:val="BE1730"/>
            <w:u w:val="single"/>
            <w:rFonts w:ascii="Calibri" w:hAnsi="Calibri"/>
            <w:sz w:val="20"/>
          </w:rPr>
          <w:t xml:space="preserve">ClickUp — бесплатные шаблоны Battle Cards</w:t>
        </w:r>
      </w:hyperlink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2262A"/>
          <w:sz w:val="21"/>
        </w:rPr>
        <w:t>5. Работа с возражениями — единый формат карточки (золотой стандарт):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E1730"/>
          <w:left w:val="single" w:sz="6" w:space="0" w:color="BE1730"/>
          <w:bottom w:val="single" w:sz="6" w:space="0" w:color="BE1730"/>
          <w:right w:val="single" w:sz="6" w:space="0" w:color="BE1730"/>
          <w:insideH w:val="single" w:sz="6" w:space="0" w:color="BE1730"/>
          <w:insideV w:val="single" w:sz="6" w:space="0" w:color="BE1730"/>
        </w:tblBorders>
      </w:tblPr>
      <w:tblGrid>
        <w:gridCol w:w="9972"/>
      </w:tblGrid>
      <w:tr>
        <w:tc>
          <w:tcPr>
            <w:tcW w:type="dxa" w:w="9360"/>
            <w:shd w:val="clear" w:color="auto" w:fill="FBEEF0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BE1730"/>
                <w:sz w:val="23"/>
              </w:rPr>
              <w:t>Возражение  →  Не говорить  →  Говорить  →  Доказательство (пруф)</w:t>
            </w:r>
          </w:p>
        </w:tc>
      </w:tr>
    </w:tbl>
    <w:p>
      <w:pPr>
        <w:spacing w:before="320" w:after="80"/>
        <w:pBdr>
          <w:bottom w:val="single" w:sz="12" w:space="4" w:color="BE1730"/>
        </w:pBdr>
      </w:pPr>
      <w:r>
        <w:rPr>
          <w:rFonts w:ascii="Calibri" w:hAnsi="Calibri"/>
          <w:b/>
          <w:i w:val="0"/>
          <w:color w:val="22262A"/>
          <w:sz w:val="30"/>
        </w:rPr>
        <w:t>4. Готовые шаблоны — «подсмотреть структуру»</w:t>
      </w:r>
    </w:p>
    <w:p>
      <w:pPr>
        <w:pStyle w:val="ListBullet"/>
        <w:spacing w:after="40"/>
        <w:ind w:left="360"/>
      </w:pPr>
      <w:hyperlink r:id="rId20">
        <w:r>
          <w:rPr>
            <w:color w:val="BE1730"/>
            <w:u w:val="single"/>
            <w:rFonts w:ascii="Calibri" w:hAnsi="Calibri"/>
            <w:sz w:val="20"/>
          </w:rPr>
          <w:t xml:space="preserve">Salesforce — Ultimate Sales Playbook + примеры</w:t>
        </w:r>
      </w:hyperlink>
    </w:p>
    <w:p>
      <w:pPr>
        <w:pStyle w:val="ListBullet"/>
        <w:spacing w:after="40"/>
        <w:ind w:left="360"/>
      </w:pPr>
      <w:hyperlink r:id="rId21">
        <w:r>
          <w:rPr>
            <w:color w:val="BE1730"/>
            <w:u w:val="single"/>
            <w:rFonts w:ascii="Calibri" w:hAnsi="Calibri"/>
            <w:sz w:val="20"/>
          </w:rPr>
          <w:t xml:space="preserve">Pipedrive — Sales Playbook: примеры и шаблон</w:t>
        </w:r>
      </w:hyperlink>
    </w:p>
    <w:p>
      <w:pPr>
        <w:pStyle w:val="ListBullet"/>
        <w:spacing w:after="40"/>
        <w:ind w:left="360"/>
      </w:pPr>
      <w:hyperlink r:id="rId22">
        <w:r>
          <w:rPr>
            <w:color w:val="BE1730"/>
            <w:u w:val="single"/>
            <w:rFonts w:ascii="Calibri" w:hAnsi="Calibri"/>
            <w:sz w:val="20"/>
          </w:rPr>
          <w:t xml:space="preserve">HubSpot — реальный playbook с тактиками</w:t>
        </w:r>
      </w:hyperlink>
    </w:p>
    <w:p>
      <w:pPr>
        <w:pStyle w:val="ListBullet"/>
        <w:spacing w:after="40"/>
        <w:ind w:left="360"/>
      </w:pPr>
      <w:hyperlink r:id="rId23">
        <w:r>
          <w:rPr>
            <w:color w:val="BE1730"/>
            <w:u w:val="single"/>
            <w:rFonts w:ascii="Calibri" w:hAnsi="Calibri"/>
            <w:sz w:val="20"/>
          </w:rPr>
          <w:t xml:space="preserve">Yesware — какой контент давать на каждом этапе воронки</w:t>
        </w:r>
      </w:hyperlink>
    </w:p>
    <w:p>
      <w:pPr>
        <w:pStyle w:val="ListBullet"/>
        <w:spacing w:after="40"/>
        <w:ind w:left="360"/>
      </w:pPr>
      <w:hyperlink r:id="rId24">
        <w:r>
          <w:rPr>
            <w:color w:val="BE1730"/>
            <w:u w:val="single"/>
            <w:rFonts w:ascii="Calibri" w:hAnsi="Calibri"/>
            <w:sz w:val="20"/>
          </w:rPr>
          <w:t xml:space="preserve">Foleon — карта «контент → стадия покупателя»</w:t>
        </w:r>
      </w:hyperlink>
    </w:p>
    <w:p>
      <w:pPr>
        <w:spacing w:before="320" w:after="80"/>
        <w:pBdr>
          <w:bottom w:val="single" w:sz="12" w:space="4" w:color="BE1730"/>
        </w:pBdr>
      </w:pPr>
      <w:r>
        <w:rPr>
          <w:rFonts w:ascii="Calibri" w:hAnsi="Calibri"/>
          <w:b/>
          <w:i w:val="0"/>
          <w:color w:val="22262A"/>
          <w:sz w:val="30"/>
        </w:rPr>
        <w:t>Рекомендация для LUIS+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D98AB"/>
          <w:left w:val="single" w:sz="4" w:space="0" w:color="7D98AB"/>
          <w:bottom w:val="single" w:sz="4" w:space="0" w:color="7D98AB"/>
          <w:right w:val="single" w:sz="4" w:space="0" w:color="7D98AB"/>
          <w:insideH w:val="single" w:sz="4" w:space="0" w:color="7D98AB"/>
          <w:insideV w:val="single" w:sz="4" w:space="0" w:color="7D98AB"/>
        </w:tblBorders>
      </w:tblPr>
      <w:tblGrid>
        <w:gridCol w:w="9972"/>
      </w:tblGrid>
      <w:tr>
        <w:tc>
          <w:tcPr>
            <w:tcW w:type="dxa" w:w="9360"/>
            <w:shd w:val="clear" w:color="auto" w:fill="F4F6F7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22262A"/>
                <w:sz w:val="21"/>
              </w:rPr>
              <w:t xml:space="preserve">Не покупать новую платформу. </w:t>
            </w:r>
            <w:r>
              <w:rPr>
                <w:rFonts w:ascii="Calibri" w:hAnsi="Calibri"/>
                <w:b w:val="0"/>
                <w:i w:val="0"/>
                <w:color w:val="22262A"/>
                <w:sz w:val="21"/>
              </w:rPr>
              <w:t>Собрать playbook как контент → положить в имеющуюся CRM. Регламенты видны прямо в сделке, менеджер не переключается между окнами. Западные платформы и iSpring — использовать как референс структуры, а не как закупку.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E1730"/>
                <w:sz w:val="21"/>
              </w:rPr>
              <w:t xml:space="preserve">Порядок работы: </w:t>
            </w:r>
            <w:r>
              <w:rPr>
                <w:rFonts w:ascii="Calibri" w:hAnsi="Calibri"/>
                <w:b w:val="0"/>
                <w:i w:val="0"/>
                <w:color w:val="22262A"/>
                <w:sz w:val="21"/>
              </w:rPr>
              <w:t>1) дерево разделов базы знаний  →  2) карта «этап → материал → скрипт»  →  3) карточки возражений и battle cards  →  4) перенос в CRM/LMS.</w:t>
            </w:r>
          </w:p>
        </w:tc>
      </w:tr>
    </w:tbl>
    <w:p>
      <w:pPr>
        <w:spacing w:before="320" w:after="80"/>
        <w:pBdr>
          <w:bottom w:val="single" w:sz="12" w:space="4" w:color="BE1730"/>
        </w:pBdr>
      </w:pPr>
      <w:r>
        <w:rPr>
          <w:rFonts w:ascii="Calibri" w:hAnsi="Calibri"/>
          <w:b/>
          <w:i w:val="0"/>
          <w:color w:val="22262A"/>
          <w:sz w:val="30"/>
        </w:rPr>
        <w:t>Что дальше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2262A"/>
          <w:sz w:val="21"/>
        </w:rPr>
        <w:t>Спроектировать структуру playbook LUIS+</w:t>
      </w:r>
      <w:r>
        <w:rPr>
          <w:rFonts w:ascii="Calibri" w:hAnsi="Calibri"/>
          <w:b w:val="0"/>
          <w:i w:val="0"/>
          <w:color w:val="22262A"/>
          <w:sz w:val="21"/>
        </w:rPr>
        <w:t xml:space="preserve"> — дерево разделов и карту «этап → материал → скрипт» на основе вашего буклета и материалов.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2262A"/>
          <w:sz w:val="21"/>
        </w:rPr>
        <w:t>Собрать HTML-прототип дорожной карты</w:t>
      </w:r>
      <w:r>
        <w:rPr>
          <w:rFonts w:ascii="Calibri" w:hAnsi="Calibri"/>
          <w:b w:val="0"/>
          <w:i w:val="0"/>
          <w:color w:val="22262A"/>
          <w:sz w:val="21"/>
        </w:rPr>
        <w:t xml:space="preserve"> — наглядно показать руководству, как система выглядит до внедрения в CRM.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22262A"/>
          <w:sz w:val="21"/>
        </w:rPr>
        <w:t>Сделать шаблон карточки возражений</w:t>
      </w:r>
      <w:r>
        <w:rPr>
          <w:rFonts w:ascii="Calibri" w:hAnsi="Calibri"/>
          <w:b w:val="0"/>
          <w:i w:val="0"/>
          <w:color w:val="22262A"/>
          <w:sz w:val="21"/>
        </w:rPr>
        <w:t xml:space="preserve"> — таблица «Возражение → Не говорить → Говорить → Пруф» под реальные возражения по СТМ.</w:t>
      </w:r>
    </w:p>
    <w:p>
      <w:pPr>
        <w:spacing w:before="280"/>
        <w:pBdr>
          <w:top w:val="single" w:sz="6" w:space="6" w:color="D9DEE2"/>
        </w:pBdr>
      </w:pPr>
      <w:r>
        <w:rPr>
          <w:rFonts w:ascii="Calibri" w:hAnsi="Calibri"/>
          <w:b w:val="0"/>
          <w:i/>
          <w:color w:val="7D98AB"/>
          <w:sz w:val="17"/>
        </w:rPr>
        <w:t>LUIS+ · Sales Kit · внутренний документ отдела продаж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6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b24.o2k.ru/blog/baza-znaniy-v-bitriks24" TargetMode="External"/><Relationship Id="rId11" Type="http://schemas.openxmlformats.org/officeDocument/2006/relationships/hyperlink" Target="https://pinschercrm.ru/blog/baza-znanij-bitriks24-2/" TargetMode="External"/><Relationship Id="rId12" Type="http://schemas.openxmlformats.org/officeDocument/2006/relationships/hyperlink" Target="https://helpdesk.bitrix24.ru/open/28247830/" TargetMode="External"/><Relationship Id="rId13" Type="http://schemas.openxmlformats.org/officeDocument/2006/relationships/hyperlink" Target="https://www.ispring.ru/elearning-insights/baza-znaniy-v-ispring-learn" TargetMode="External"/><Relationship Id="rId14" Type="http://schemas.openxmlformats.org/officeDocument/2006/relationships/hyperlink" Target="https://www.highspot.com/blog/sales-collateral-examples-best-practices/" TargetMode="External"/><Relationship Id="rId15" Type="http://schemas.openxmlformats.org/officeDocument/2006/relationships/hyperlink" Target="https://www.seismic.com/enablement-explainers/sales-playbooks-101/" TargetMode="External"/><Relationship Id="rId16" Type="http://schemas.openxmlformats.org/officeDocument/2006/relationships/hyperlink" Target="https://www.dock.us/solutions/sales" TargetMode="External"/><Relationship Id="rId17" Type="http://schemas.openxmlformats.org/officeDocument/2006/relationships/hyperlink" Target="https://www.sendtrumpet.com/" TargetMode="External"/><Relationship Id="rId18" Type="http://schemas.openxmlformats.org/officeDocument/2006/relationships/hyperlink" Target="https://klue.com/blog/sales-battlecard-template-objection-handling-and-counterpoints" TargetMode="External"/><Relationship Id="rId19" Type="http://schemas.openxmlformats.org/officeDocument/2006/relationships/hyperlink" Target="https://clickup.com/blog/battle-card-templates/" TargetMode="External"/><Relationship Id="rId20" Type="http://schemas.openxmlformats.org/officeDocument/2006/relationships/hyperlink" Target="https://www.salesforce.com/blog/sales/sales-playbook/" TargetMode="External"/><Relationship Id="rId21" Type="http://schemas.openxmlformats.org/officeDocument/2006/relationships/hyperlink" Target="https://www.pipedrive.com/en/blog/sales-playbook" TargetMode="External"/><Relationship Id="rId22" Type="http://schemas.openxmlformats.org/officeDocument/2006/relationships/hyperlink" Target="https://blog.hubspot.com/sales/sales-playbook" TargetMode="External"/><Relationship Id="rId23" Type="http://schemas.openxmlformats.org/officeDocument/2006/relationships/hyperlink" Target="https://www.yesware.com/blog/sales-collateral/" TargetMode="External"/><Relationship Id="rId24" Type="http://schemas.openxmlformats.org/officeDocument/2006/relationships/hyperlink" Target="https://www.foleon.com/blog/how-to-map-your-content-to-the-buyers-journ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