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852A34"/>
          <w:sz w:val="32"/>
        </w:rPr>
        <w:t>Площадки для выступлений — А. Кутузов, ст. вице-президент PM Excellence</w:t>
      </w:r>
    </w:p>
    <w:p>
      <w:r>
        <w:rPr>
          <w:b w:val="0"/>
          <w:color w:val="666666"/>
          <w:sz w:val="17"/>
        </w:rPr>
        <w:t>Карта площадок для прямого выхода на лиц, принимающих решения о запуске мегапроектов: закрытые деловые клубы CEO и бизнес-школы EMBA.</w:t>
      </w:r>
    </w:p>
    <w:p>
      <w:pPr>
        <w:spacing w:before="160" w:after="40"/>
      </w:pPr>
      <w:r>
        <w:rPr>
          <w:b/>
          <w:color w:val="852A34"/>
          <w:sz w:val="22"/>
        </w:rPr>
        <w:t>1. Деловые клубы и сообщества CEO — прямой доступ к ЛПР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1944"/>
            <w:shd w:val="clear" w:color="auto" w:fill="852A3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Площадка</w:t>
            </w:r>
          </w:p>
        </w:tc>
        <w:tc>
          <w:tcPr>
            <w:tcW w:type="dxa" w:w="1944"/>
            <w:shd w:val="clear" w:color="auto" w:fill="852A3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2232"/>
            <w:shd w:val="clear" w:color="auto" w:fill="852A3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Аудитория</w:t>
            </w:r>
          </w:p>
        </w:tc>
        <w:tc>
          <w:tcPr>
            <w:tcW w:type="dxa" w:w="648"/>
            <w:shd w:val="clear" w:color="auto" w:fill="852A3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ЦА</w:t>
            </w:r>
          </w:p>
        </w:tc>
        <w:tc>
          <w:tcPr>
            <w:tcW w:type="dxa" w:w="2664"/>
            <w:shd w:val="clear" w:color="auto" w:fill="852A3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Как зайти</w:t>
            </w:r>
          </w:p>
        </w:tc>
      </w:tr>
      <w:tr>
        <w:tc>
          <w:tcPr>
            <w:tcW w:type="dxa" w:w="1944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RuTalks-CEO Russia (№1)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Закрытые клубные вечера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Владельцы, гендиры госкорпораций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★★★★★</w:t>
            </w:r>
          </w:p>
        </w:tc>
        <w:tc>
          <w:tcPr>
            <w:tcW w:type="dxa" w:w="2664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Резидентство / гостевой спикер. А. Архипов (ЕТПС)</w:t>
            </w:r>
          </w:p>
        </w:tc>
      </w:tr>
      <w:tr>
        <w:tc>
          <w:tcPr>
            <w:tcW w:type="dxa" w:w="1944"/>
            <w:shd w:val="clear" w:color="auto" w:fill="F5EFEF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BRICS+ Business Club</w:t>
            </w:r>
          </w:p>
        </w:tc>
        <w:tc>
          <w:tcPr>
            <w:tcW w:type="dxa" w:w="1944"/>
            <w:shd w:val="clear" w:color="auto" w:fill="F5EFEF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Закрытые вечера, «Топ-100»</w:t>
            </w:r>
          </w:p>
        </w:tc>
        <w:tc>
          <w:tcPr>
            <w:tcW w:type="dxa" w:w="2232"/>
            <w:shd w:val="clear" w:color="auto" w:fill="F5EFEF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Топы промышленности</w:t>
            </w:r>
          </w:p>
        </w:tc>
        <w:tc>
          <w:tcPr>
            <w:tcW w:type="dxa" w:w="648"/>
            <w:shd w:val="clear" w:color="auto" w:fill="F5EFEF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★★★★</w:t>
            </w:r>
          </w:p>
        </w:tc>
        <w:tc>
          <w:tcPr>
            <w:tcW w:type="dxa" w:w="2664"/>
            <w:shd w:val="clear" w:color="auto" w:fill="F5EFEF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Через ЕТПС, тот же оператор</w:t>
            </w:r>
          </w:p>
        </w:tc>
      </w:tr>
      <w:tr>
        <w:tc>
          <w:tcPr>
            <w:tcW w:type="dxa" w:w="1944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Forbes Club</w:t>
            </w:r>
          </w:p>
        </w:tc>
        <w:tc>
          <w:tcPr>
            <w:tcW w:type="dxa" w:w="1944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Ужины, деловые сессии</w:t>
            </w:r>
          </w:p>
        </w:tc>
        <w:tc>
          <w:tcPr>
            <w:tcW w:type="dxa" w:w="2232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Крупный бизнес, собственники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★★★★</w:t>
            </w:r>
          </w:p>
        </w:tc>
        <w:tc>
          <w:tcPr>
            <w:tcW w:type="dxa" w:w="2664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Партнёрство / спонсорство</w:t>
            </w:r>
          </w:p>
        </w:tc>
      </w:tr>
      <w:tr>
        <w:tc>
          <w:tcPr>
            <w:tcW w:type="dxa" w:w="1944"/>
            <w:shd w:val="clear" w:color="auto" w:fill="F5EFEF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Клуб директоров, «ТОП-1000» (Ъ/АМР)</w:t>
            </w:r>
          </w:p>
        </w:tc>
        <w:tc>
          <w:tcPr>
            <w:tcW w:type="dxa" w:w="1944"/>
            <w:shd w:val="clear" w:color="auto" w:fill="F5EFEF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Рейтинги + закрытые встречи</w:t>
            </w:r>
          </w:p>
        </w:tc>
        <w:tc>
          <w:tcPr>
            <w:tcW w:type="dxa" w:w="2232"/>
            <w:shd w:val="clear" w:color="auto" w:fill="F5EFEF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CEO по отраслям</w:t>
            </w:r>
          </w:p>
        </w:tc>
        <w:tc>
          <w:tcPr>
            <w:tcW w:type="dxa" w:w="648"/>
            <w:shd w:val="clear" w:color="auto" w:fill="F5EFEF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★★★</w:t>
            </w:r>
          </w:p>
        </w:tc>
        <w:tc>
          <w:tcPr>
            <w:tcW w:type="dxa" w:w="2664"/>
            <w:shd w:val="clear" w:color="auto" w:fill="F5EFEF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Экспертные колонки → приглашения</w:t>
            </w:r>
          </w:p>
        </w:tc>
      </w:tr>
    </w:tbl>
    <w:p>
      <w:pPr>
        <w:spacing w:before="160" w:after="40"/>
      </w:pPr>
      <w:r>
        <w:rPr>
          <w:b/>
          <w:color w:val="852A34"/>
          <w:sz w:val="22"/>
        </w:rPr>
        <w:t>2. Бизнес-школы EMBA — имидж эксперта и лидген среди топов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232"/>
            <w:shd w:val="clear" w:color="auto" w:fill="852A3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Школа</w:t>
            </w:r>
          </w:p>
        </w:tc>
        <w:tc>
          <w:tcPr>
            <w:tcW w:type="dxa" w:w="3960"/>
            <w:shd w:val="clear" w:color="auto" w:fill="852A3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Что предложить</w:t>
            </w:r>
          </w:p>
        </w:tc>
        <w:tc>
          <w:tcPr>
            <w:tcW w:type="dxa" w:w="648"/>
            <w:shd w:val="clear" w:color="auto" w:fill="852A3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ЦА</w:t>
            </w:r>
          </w:p>
        </w:tc>
        <w:tc>
          <w:tcPr>
            <w:tcW w:type="dxa" w:w="2592"/>
            <w:shd w:val="clear" w:color="auto" w:fill="852A3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Как зайти</w:t>
            </w:r>
          </w:p>
        </w:tc>
      </w:tr>
      <w:tr>
        <w:tc>
          <w:tcPr>
            <w:tcW w:type="dxa" w:w="2232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МШУ Сколково</w:t>
            </w:r>
          </w:p>
        </w:tc>
        <w:tc>
          <w:tcPr>
            <w:tcW w:type="dxa" w:w="3960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Гостевая лекция EMBA / модуль «управление проектами»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★★★★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Через выпускников и партнёров</w:t>
            </w:r>
          </w:p>
        </w:tc>
      </w:tr>
      <w:tr>
        <w:tc>
          <w:tcPr>
            <w:tcW w:type="dxa" w:w="2232"/>
            <w:shd w:val="clear" w:color="auto" w:fill="F5EFEF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РАНХиГС Executive MBA</w:t>
            </w:r>
          </w:p>
        </w:tc>
        <w:tc>
          <w:tcPr>
            <w:tcW w:type="dxa" w:w="3960"/>
            <w:shd w:val="clear" w:color="auto" w:fill="F5EFEF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Модуль по мегапроектам</w:t>
            </w:r>
          </w:p>
        </w:tc>
        <w:tc>
          <w:tcPr>
            <w:tcW w:type="dxa" w:w="648"/>
            <w:shd w:val="clear" w:color="auto" w:fill="F5EFEF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★★★★</w:t>
            </w:r>
          </w:p>
        </w:tc>
        <w:tc>
          <w:tcPr>
            <w:tcW w:type="dxa" w:w="2592"/>
            <w:shd w:val="clear" w:color="auto" w:fill="F5EFEF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Кафедра проектного управления</w:t>
            </w:r>
          </w:p>
        </w:tc>
      </w:tr>
      <w:tr>
        <w:tc>
          <w:tcPr>
            <w:tcW w:type="dxa" w:w="2232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ВШБ НИУ ВШЭ (MBA/EMBA)</w:t>
            </w:r>
          </w:p>
        </w:tc>
        <w:tc>
          <w:tcPr>
            <w:tcW w:type="dxa" w:w="3960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Готовый формат «гостевые лекции лидеров бизнеса»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★★★★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Программный офис MBA (лёгкий вход)</w:t>
            </w:r>
          </w:p>
        </w:tc>
      </w:tr>
      <w:tr>
        <w:tc>
          <w:tcPr>
            <w:tcW w:type="dxa" w:w="2232"/>
            <w:shd w:val="clear" w:color="auto" w:fill="F5EFEF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СберУниверситет MBA</w:t>
            </w:r>
          </w:p>
        </w:tc>
        <w:tc>
          <w:tcPr>
            <w:tcW w:type="dxa" w:w="3960"/>
            <w:shd w:val="clear" w:color="auto" w:fill="F5EFEF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Практический разбор кейсов CAPEX</w:t>
            </w:r>
          </w:p>
        </w:tc>
        <w:tc>
          <w:tcPr>
            <w:tcW w:type="dxa" w:w="648"/>
            <w:shd w:val="clear" w:color="auto" w:fill="F5EFEF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★★★</w:t>
            </w:r>
          </w:p>
        </w:tc>
        <w:tc>
          <w:tcPr>
            <w:tcW w:type="dxa" w:w="2592"/>
            <w:shd w:val="clear" w:color="auto" w:fill="F5EFEF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Через корпоративные связи</w:t>
            </w:r>
          </w:p>
        </w:tc>
      </w:tr>
      <w:tr>
        <w:tc>
          <w:tcPr>
            <w:tcW w:type="dxa" w:w="2232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МИРБИС</w:t>
            </w:r>
          </w:p>
        </w:tc>
        <w:tc>
          <w:tcPr>
            <w:tcW w:type="dxa" w:w="3960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EMBA / DBA, 37 лет, лояльны к практикам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★★★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Открыты к спикерам-практикам</w:t>
            </w:r>
          </w:p>
        </w:tc>
      </w:tr>
      <w:tr>
        <w:tc>
          <w:tcPr>
            <w:tcW w:type="dxa" w:w="2232"/>
            <w:shd w:val="clear" w:color="auto" w:fill="F5EFEF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ВШБ СПбГУ / Финансовый ун-т</w:t>
            </w:r>
          </w:p>
        </w:tc>
        <w:tc>
          <w:tcPr>
            <w:tcW w:type="dxa" w:w="3960"/>
            <w:shd w:val="clear" w:color="auto" w:fill="F5EFEF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MBA по управлению проектами</w:t>
            </w:r>
          </w:p>
        </w:tc>
        <w:tc>
          <w:tcPr>
            <w:tcW w:type="dxa" w:w="648"/>
            <w:shd w:val="clear" w:color="auto" w:fill="F5EFEF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★★★</w:t>
            </w:r>
          </w:p>
        </w:tc>
        <w:tc>
          <w:tcPr>
            <w:tcW w:type="dxa" w:w="2592"/>
            <w:shd w:val="clear" w:color="auto" w:fill="F5EFEF"/>
          </w:tcPr>
          <w:p>
            <w:pPr>
              <w:spacing w:after="0" w:before="0"/>
            </w:pPr>
            <w:r/>
            <w:r>
              <w:rPr>
                <w:b w:val="0"/>
                <w:color w:val="222222"/>
                <w:sz w:val="16"/>
              </w:rPr>
              <w:t>Профильные кафедры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