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 w:eastAsia="Arial"/>
          <w:b/>
          <w:i w:val="0"/>
          <w:color w:val="852A34"/>
          <w:sz w:val="40"/>
        </w:rPr>
        <w:t>ТЕХНИЧЕСКОЕ ЗАДАНИЕ</w:t>
      </w:r>
    </w:p>
    <w:p>
      <w:pPr>
        <w:spacing w:before="0" w:after="40"/>
      </w:pPr>
      <w:r>
        <w:rPr>
          <w:rFonts w:ascii="Arial" w:hAnsi="Arial" w:eastAsia="Arial"/>
          <w:b/>
          <w:i w:val="0"/>
          <w:color w:val="1A1A1A"/>
          <w:sz w:val="30"/>
        </w:rPr>
        <w:t>Доработка сайта pmexcellence.com</w:t>
      </w:r>
    </w:p>
    <w:p>
      <w:pPr>
        <w:spacing w:before="0" w:after="280"/>
      </w:pPr>
      <w:r>
        <w:rPr>
          <w:rFonts w:ascii="Georgia" w:hAnsi="Georgia" w:eastAsia="Georgia"/>
          <w:b w:val="0"/>
          <w:i w:val="0"/>
          <w:color w:val="666666"/>
          <w:sz w:val="23"/>
        </w:rPr>
        <w:t>Пять правок: мета-данные, контакты, кейсы, точки контакта</w:t>
      </w:r>
    </w:p>
    <w:p>
      <w:pPr>
        <w:spacing w:before="0" w:after="320"/>
      </w:pPr>
      <w:r>
        <w:rPr>
          <w:rFonts w:ascii="Georgia" w:hAnsi="Georgia" w:eastAsia="Georgia"/>
          <w:b w:val="0"/>
          <w:i w:val="0"/>
          <w:color w:val="666666"/>
          <w:sz w:val="20"/>
        </w:rPr>
        <w:t>PM Excellence / РМ Групп · август 2026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На чём основано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Задание составлено по результатам технического аудита сайта от 3 августа 2026 года. Краулер обошёл 351 адрес на глубину трёх уровней, из них 322 HTML-страницы; отдельно проверены sitemap, robots.txt, заголовки сервера, микроразметка и рендер страниц в браузере. Все цифры в документе — результат замера, а не оценки.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В задание вошли пять пунктов аудита, отобранные заказчиком: № 17, 18, 19, 22 и 24. Пункты 17–19 — работа с мета-данными и контактами, выполняется силами контент-менеджера. Пункты 22 и 24 требуют участия разработчика.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Состав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67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№</w:t>
            </w:r>
          </w:p>
        </w:tc>
        <w:tc>
          <w:tcPr>
            <w:tcW w:type="dxa" w:w="3742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Правка</w:t>
            </w:r>
          </w:p>
        </w:tc>
        <w:tc>
          <w:tcPr>
            <w:tcW w:type="dxa" w:w="3061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Объём</w:t>
            </w:r>
          </w:p>
        </w:tc>
        <w:tc>
          <w:tcPr>
            <w:tcW w:type="dxa" w:w="1474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Исполнитель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Сократить title до 70 знаков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105 страниц, из них 25 приоритетных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Контент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Заполнить description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15 страниц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Контент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Свести контакты к единым значениям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4 места на сайте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Контент + IT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4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Вывести кейсы проектов наверх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16 кейсов, раздел «Примеры проектов»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IT + контент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5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Поставить CTA на страницах без кнопок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8 страниц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IT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20"/>
      </w:pPr>
      <w:r>
        <w:rPr>
          <w:rFonts w:ascii="Arial" w:hAnsi="Arial" w:eastAsia="Arial"/>
          <w:b/>
          <w:i w:val="0"/>
          <w:color w:val="852A34"/>
          <w:sz w:val="28"/>
        </w:rPr>
        <w:t>1. Заголовки title длиннее 70 знаков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Почему это деньги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Title — это синяя ссылка в поисковой выдаче, единственное, что видит человек до перехода на сайт. Яндекс и Google обрезают её примерно на 70 знаках. Сейчас на сайте 105 страниц с более длинными заголовками: у главной — 144 знака, то есть половина заголовка не показывается никогда. Хвост «Профессиональное управление крупными и мегапроектами» дублируется в 14 заголовках подряд и вытесняет из видимой части то, ради чего человек кликает.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Правило, по которому переписываем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Длина 55–70 знаков с пробелами.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Главное слово — в первых 40 знаках, бренд — в конце.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Аббревиатуры PMC и EPC — только латиницей. Сейчас на сайте они написаны кириллицей («РМС», «ЕРС», «РМ Excellence») — для поисковика это другие слова, страницы не участвуют в выдаче по своим же запросам.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Не повторять один хвост на всех страницах раздела.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У каждой страницы — свой уникальный title. Сейчас есть до четырёх копий одного заголовка.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Приоритетные страницы — что поставить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Адрес</w:t>
            </w:r>
          </w:p>
        </w:tc>
        <w:tc>
          <w:tcPr>
            <w:tcW w:type="dxa" w:w="3572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Было (знаков)</w:t>
            </w:r>
          </w:p>
        </w:tc>
        <w:tc>
          <w:tcPr>
            <w:tcW w:type="dxa" w:w="334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Стало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Project Management Contractor ( РМС | EPC). Контракты на управление проектами. PM Excellence ( РМС | EPC) - первый PMC | ЕРС подрядчик в России. (144)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Управление крупными проектами — PMC и EPC подрядчик | PM Excellence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/service-map/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Услуги компании РМ Excellence ( РМС | EPC ) – Профессиональное управление крупными и мегапроектами (98)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Услуги управления проектами: PMC, EPC, диагностика | PM Excellence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/service-map/pmc/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Assurance + PMC – управление проектами с ответственностью за результат | PM Contractor (89)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PMC — управление проектом с ответственностью за результат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/service-map/epc/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Реализация (ЕРС) – Проектирование, поставка, строительство (58, кириллица)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EPC-контракт: проектирование, поставка, строительство под ключ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/service-map/pm-check-up/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Check-up (Диагностика) – независимая экспертиза управления проектом | РМ Excellence (86)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Check-up — независимая диагностика проекта | PM Excellence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/service-map/pm-support/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Support – поддержка функций управления проектом | РМ Excellence (66)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Support — поддержка управления проектом | PM Excellence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/team/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Команда PM Excellence ( РМС | EPC ). Профессиональное управление крупными и мегапроектами (89)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Команда PM Excellence: директора практик и эксперты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/experience/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Примеры выполненных проектов компании PM Excellence ( РМС | EPC ) (65)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Примеры проектов: Газпром, Роснефть, Росатом, Сочи-2014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/about_company/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Информация о компании PM Excellence ( РМС | EPC ) (49)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 компании PM Excellence — PMC и EPC подрядчик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/pm_benchmark/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Benchmark - новый аналитический продукт компании PM Excellence ( РМС | EPC ) (79)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Benchmark — аналитика по управлению крупными проектами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/pm-portfolio/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PORTfolio — открытый прикладной стандарт по управлению портфелем проектов (76)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PORTfolio — стандарт управления портфелем проектов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Шаблоны для типовых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Тип страницы</w:t>
            </w:r>
          </w:p>
        </w:tc>
        <w:tc>
          <w:tcPr>
            <w:tcW w:type="dxa" w:w="317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Шаблон title</w:t>
            </w:r>
          </w:p>
        </w:tc>
        <w:tc>
          <w:tcPr>
            <w:tcW w:type="dxa" w:w="3288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Страница сотрудника (14 шт.)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Имя Фамилия — должность | PM Excellence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Александр Кутузов — старший вице-президент | PM Excellence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Страница кейса (16 шт.)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Заказчик: результат | Кейс PM Excellence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ТААС-Юрях: сокращение отставания на 150 дней | Кейс PM Excellence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Вебинар (9 шт.)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Тема вебинара — спикер | PM Excellence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Как создать команду, пробивающую стены — Дмитрий Годунов | PM Excellence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Новость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Заголовок новости (до 65 знаков, без хвоста)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 Excellence завершила проекты для АО «Роспан Интернешнл»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2F3"/>
          </w:tcPr>
          <w:p>
            <w:pPr>
              <w:spacing w:before="80" w:after="80"/>
            </w:pPr>
            <w:r/>
            <w:r>
              <w:rPr>
                <w:rFonts w:ascii="Georgia" w:hAnsi="Georgia"/>
                <w:i/>
                <w:sz w:val="20"/>
              </w:rPr>
              <w:t>Все 14 страниц раздела «Команда» сейчас имеют одинаковый хвост «- PM Excellence Профессиональное управление крупными и мегапроектами» длиной 62 знака. После замены на шаблон в выдаче будет видно имя и должность, а не повторяющийся слоган.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20"/>
      </w:pPr>
      <w:r>
        <w:rPr>
          <w:rFonts w:ascii="Arial" w:hAnsi="Arial" w:eastAsia="Arial"/>
          <w:b/>
          <w:i w:val="0"/>
          <w:color w:val="852A34"/>
          <w:sz w:val="28"/>
        </w:rPr>
        <w:t>2. Страницы без description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Почему это деньги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Description — текст под ссылкой в выдаче. Когда его нет, поисковик собирает описание сам: берёт первый попавшийся фрагмент со страницы. У раздела «Вебинары» это оказывается меню сайта или текст cookie-баннера. Человек видит бессмысленный набор слов и не кликает.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Замер показал 15 HTML-страниц без description. Двенадцать из них — раздел вебинаров, то есть весь ваш экспертный контент, ради которого люди приходят из поиска и соцсетей.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Список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51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Адрес</w:t>
            </w:r>
          </w:p>
        </w:tc>
        <w:tc>
          <w:tcPr>
            <w:tcW w:type="dxa" w:w="5329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поставить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Вебинары PM Excellence по управлению крупными проектами: записи выступлений директоров практик, разборы стандартов и реальных кейсов.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/webinars/shtab-kutuzova-kapitany-krupnykh-proektov-vypusk-1/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Первый выпуск дискуссии «Штаб Кутузова»: как руководителю крупного проекта выстроить команду и систему управления. Запись эфира.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/webinars/shtab-kutuzova-kapitany-krupnykh-proektov-vypusk-2/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Второй выпуск «Штаба Кутузова» с Дмитрием Годуновым: как создать команду, пробивающую стены. Запись эфира.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/webinars/vebinar-pochemu-nado-razognat-bolshinstvo-proektnykh-ofisov/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Почему большинство проектных офисов не работает и что делать вместо них. Запись вебинара PM Excellence.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/webinars/vebinar-s-aleksandrom-kutuzovym/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Вебинар Александра Кутузова об управлении крупными проектами: практика PMC-подрядчика. Запись.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/webinars/vebinar-s-aleksandrom-kochetovym/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Вебинар Александра Кочетова: прогнозирование и предотвращение проблем на проекте. Запись.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/webinars/vebinar-s-romanom-cheremisinym/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Вебинар Романа Черемисина: методы работы, повышающие вероятность успеха проекта. Запись.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/webinars/vebinar-s-vladimirom-baranovym/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Вебинар Владимира Баранова о PM Benchmark: конкретные цифры для управления крупными проектами. Запись.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/webinars/vebinar-s-tatyanoy-podolskoy-aleksandrom-ozharovskim-i-andreem-matveevym/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Вебинар с Татьяной Подольской, Александром Ожаровским и Андреем Матвеевым об управлении проектами. Запись эфира.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/shtab_kutuzov/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Штаб Кутузова — цикл дискуссий о том, как руководители крупных проектов принимают решения. Анонсы выпусков и записи эфиров.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/risk-session_new_front/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Риск-сессия PM Excellence: разбор рисков вашего проекта с директорами практик. Формат, программа, запись на участие.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Правило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Длина 120–160 знаков.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Первое предложение — что человек получит, второе — формат или подтверждение (запись, дата, спикер).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У каждой страницы свой текст. Сейчас на сайте есть описания, повторяющиеся на четырёх страницах подряд — их тоже нужно развести.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Не начинать с названия компании: место в видимой части ограничено.</w:t>
      </w:r>
    </w:p>
    <w:p>
      <w:r>
        <w:br w:type="page"/>
      </w:r>
    </w:p>
    <w:p>
      <w:pPr>
        <w:spacing w:before="400" w:after="120"/>
      </w:pPr>
      <w:r>
        <w:rPr>
          <w:rFonts w:ascii="Arial" w:hAnsi="Arial" w:eastAsia="Arial"/>
          <w:b/>
          <w:i w:val="0"/>
          <w:color w:val="852A34"/>
          <w:sz w:val="28"/>
        </w:rPr>
        <w:t>3. Единые контакты компании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Почему это деньги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Сейчас на сайте два адреса электронной почты и три почтовых адреса. Посетитель, который пишет на info@pmce.ru, попадает в ящик, не совпадающий ни с доменом, ни с брендом. Для поисковых систем расхождение названия, адреса и телефона — прямой минус к доверию и к позициям в локальной выдаче: компания выглядит так, будто у неё нет одного офиса.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Как сейчас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Где</w:t>
            </w:r>
          </w:p>
        </w:tc>
        <w:tc>
          <w:tcPr>
            <w:tcW w:type="dxa" w:w="2494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E-mail</w:t>
            </w:r>
          </w:p>
        </w:tc>
        <w:tc>
          <w:tcPr>
            <w:tcW w:type="dxa" w:w="3742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Адрес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Шапка и подвал сайта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pmc@pmexcellence.com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127030, Новослободская ул., 20</w:t>
              <w:br/>
              <w:t>107078, Каланчевская ул., 15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Страница /contacts/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info@pmce.ru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Те же два адреса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Микроразметка Organization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info@pmce.ru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127055, Сущевская ул., 12, стр. 1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Реквизиты в подвале /contacts/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ООО «ПИЭМСИ», ОГРН 1157746433844, ИНН 7707341174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Как должно быть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83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Единое значение</w:t>
            </w:r>
          </w:p>
        </w:tc>
        <w:tc>
          <w:tcPr>
            <w:tcW w:type="dxa" w:w="3969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E-mail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pmc@pmexcellence.com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Совпадает с доменом и брендом. На info@pmce.ru настроить переадресацию, чтобы не потерять письма из старых материалов.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Телефон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+7 (499) 938-54-39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 атрибуте ссылки и в микроразметке — в формате +74999385439, без скобок и пробелов, иначе не распознаётся телефоном и поисковиком.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Основной адрес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Тот, что указан в карточке Яндекс Бизнеса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Рекомендуется Новослободская, 20 — он первым стоит в шапке. Второй офис показывать отдельным блоком «ещё один офис», а не равнозначной строкой.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Юридический адрес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Сущевская ул., 12, стр. 1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Показывать только в блоке реквизитов рядом с ОГРН и ИНН, не в контактах и не в микроразметке.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Что поправить в микроразметке Organization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Блок присутствует на сайте, но содержит устаревшие данные. Значения, которые нужно заменить: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317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Сейчас</w:t>
            </w:r>
          </w:p>
        </w:tc>
        <w:tc>
          <w:tcPr>
            <w:tcW w:type="dxa" w:w="385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Поставить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email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info@pmce.ru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pmc@pmexcellence.com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address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Сущевская ул., 12, стр. 1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Основной офис из карточки Яндекс Бизнеса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telephone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+7 (499) 938-54-39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+74999385439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logo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new_logo.png (горизонтальный)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Квадратный PNG 600×600 на белом фоне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sameAs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только Telegram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Telegram, VK, vc.ru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legalName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отсутствует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Общество с ограниченной ответственностью «ПИЭМСИ»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taxID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отсутствует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7707341174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2F3"/>
          </w:tcPr>
          <w:p>
            <w:pPr>
              <w:spacing w:before="80" w:after="80"/>
            </w:pPr>
            <w:r/>
            <w:r>
              <w:rPr>
                <w:rFonts w:ascii="Georgia" w:hAnsi="Georgia"/>
                <w:i/>
                <w:sz w:val="20"/>
              </w:rPr>
              <w:t>Попутно: файл политики обработки персональных данных называется «Политика_обработки_ПД_ПМ_Эксперт.doc» — документ от прежнего бренда. Переименовать файл и проверить, что внутри указано актуальное юридическое лицо.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20"/>
      </w:pPr>
      <w:r>
        <w:rPr>
          <w:rFonts w:ascii="Arial" w:hAnsi="Arial" w:eastAsia="Arial"/>
          <w:b/>
          <w:i w:val="0"/>
          <w:color w:val="852A34"/>
          <w:sz w:val="28"/>
        </w:rPr>
        <w:t>4. Вывести кейсы проектов наверх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Почему это деньги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Это самый ценный и самый недоиспользованный актив сайта. У вас есть 16 полноценных описаний проектов — с задачей, перечнем выполненных работ, цитатами заказчиков и, главное, конкретными результатами: сокращение отставания на 150 дней, календарно-сетевая модель на 15 000 операций, 85% ИТ-проектов в срок и в бюджет.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Ни один из этих фактов сейчас не виден. Раздел «Примеры проектов» показывает 24 плитки с логотипами без единого слова текста. Восемь плиток вообще не ведут никуда — в них проставлена пустая ссылка. Чтобы дойти до описания проекта, нужно сделать три клика, и ни на одном шаге не видно, что впереди есть содержательный материал.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Что показал замер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6009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Факт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Кейсы не в карте сайта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16 страниц с содержанием отсутствуют в sitemap.xml — поисковик о них не знает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Мягкие ошибки в карте сайта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14 адресов вида /experience/rosneft/ooo-taas-yuryakh.../ отдают текст «Элемент не найден» с кодом 200 OK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Битые плитки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8 из 24 карточек в разделе имеют пустую ссылку и никуда не ведут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Одинаковые заголовки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H1 «Примеры проектов» повторяется на 23 страницах сайта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Чужой домен в микроразметке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На страницах кейсов в разметке Article указан адрес pmexpert.astakhovd.ru — тестовый домен разработчика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 анонсов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На плитках только логотипы: ни отрасли, ни задачи, ни результата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Что сделать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Заменить плитки-логотипы на карточки: логотип, отрасль, одна строка результата, ссылка на кейс.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Проставить прямые ссылки на страницы кейсов вместо пустых — все 24 карточки ведут на материал.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Добавить 16 страниц кейсов в sitemap.xml.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Адреса, отдающие «Элемент не найден», настроить редиректом на рабочие страницы кейсов.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Заменить H1 на название заказчика и проекта — уникальное на каждой странице.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Исправить адрес сайта в микроразметке Article: тестовый домен pmexpert.astakhovd.ru заменить на pmexcellence.com.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Внизу каждого кейса поставить кнопку «Обсудить похожую задачу» — см. раздел 5.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Готовые анонсы для карточек</w:t>
      </w:r>
    </w:p>
    <w:p>
      <w:pPr>
        <w:spacing w:before="0" w:after="160"/>
      </w:pPr>
      <w:r>
        <w:rPr>
          <w:rFonts w:ascii="Georgia" w:hAnsi="Georgia" w:eastAsia="Georgia"/>
          <w:b w:val="0"/>
          <w:i w:val="0"/>
          <w:color w:val="666666"/>
          <w:sz w:val="19"/>
        </w:rPr>
        <w:t>Тексты составлены по содержанию самих страниц кейсов, факты не добавлялись. Формат: заказчик — результат в одной строке.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494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Заказчик</w:t>
            </w:r>
          </w:p>
        </w:tc>
        <w:tc>
          <w:tcPr>
            <w:tcW w:type="dxa" w:w="6350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Анонс для карточки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Роснефть / ТААС-Юрях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Сократили отставание по срокам более чем на 150 дней на обустройстве Среднеботуобинского месторождения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Роснефть / Роспан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Запустили Центр оперативного реагирования на строительстве УКПГ и железнодорожного наливного терминала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Газпром инвест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Аналитический центр при проектном офисе: календарно-сетевые модели и отчётность по «Северо-Европейскому газопроводу» и проекту «Этан»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Газпром нефть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Построили систему управления проектами разработки трудноизвлекаемых запасов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Росатом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Дорожная карта и Центр оперативного реагирования на строительстве зарубежной АЭС: подсветили ранее не выявленные риски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ФСК ЕЭС / Россети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Программа АИИС КУЭ: 62 договора, взаимодействие со 150+ субподрядчиками, методология федерального уровня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Сахалинская энергия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Независимая оценка эффективности проектов модернизации платформы «Моликпак» и строительства ДКС ОБТК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СУЭК / Дальтрансуголь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Перевалка до 40 млн тонн угля в год: аналитика, на основании которой заказчик сменил неэффективного подрядчика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Сузун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Календарно-сетевые модели на 15 000 операций за пять месяцев на Сузунском месторождении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ЕвразХолдинг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Автоматизированный комплекс планирования и мониторинга портфеля крупных проектов реконструкции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Олимпстрой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Экспертиза план-графиков и контроль строительства олимпийских объектов Сочи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Стройтрансгаз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Календарно-сетевые модели строительства стадионов ЧМ-2018 в Волгограде и Нижнем Новгороде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ГТЛК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Проектный офис и система планирования по трём программам Фонда национального благосостояния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Тойота Мотор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85% ИТ-проектов портфеля выполнены в срок и в бюджет, более 30 технологически сложных проектов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Вымпелком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Система управления программами и проектами в штаб-квартире Московского региона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Ассоциация больших данных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Дорожная карта, ресурсный план и отчётность для проектов стратегии АБД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2F3"/>
          </w:tcPr>
          <w:p>
            <w:pPr>
              <w:spacing w:before="80" w:after="80"/>
            </w:pPr>
            <w:r/>
            <w:r>
              <w:rPr>
                <w:rFonts w:ascii="Georgia" w:hAnsi="Georgia"/>
                <w:i/>
                <w:sz w:val="20"/>
              </w:rPr>
              <w:t>Приоритет размещения на главной и в разделе: нефтегаз и энергетика — Роснефть, Газпром, Росатом, ФСК ЕЭС, Сахалинская энергия. Это отрасли, из которых приходит целевой заказчик, и именно там у вас самые сильные результаты.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20"/>
      </w:pPr>
      <w:r>
        <w:rPr>
          <w:rFonts w:ascii="Arial" w:hAnsi="Arial" w:eastAsia="Arial"/>
          <w:b/>
          <w:i w:val="0"/>
          <w:color w:val="852A34"/>
          <w:sz w:val="28"/>
        </w:rPr>
        <w:t>5. Точки контакта на страницах без кнопок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Почему это деньги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Проверены 21 страница сайта. На восьми — включая главную, карту сервисов, «О компании», «Примеры проектов» и «Команду» — нет ни одной кнопки действия. Человек дочитывает страницу и упирается в подвал. Формы на сайте есть, но они внизу и не связаны с содержанием страницы.</w:t>
      </w: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Правило простое: на каждом экране, где посетитель может принять решение, должно быть ровно одно очевидное действие. Не три конкурирующие кнопки и не ноль.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Что поставить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Страница</w:t>
            </w:r>
          </w:p>
        </w:tc>
        <w:tc>
          <w:tcPr>
            <w:tcW w:type="dxa" w:w="2041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Сейчас</w:t>
            </w:r>
          </w:p>
        </w:tc>
        <w:tc>
          <w:tcPr>
            <w:tcW w:type="dxa" w:w="2608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Главный CTA</w:t>
            </w:r>
          </w:p>
        </w:tc>
        <w:tc>
          <w:tcPr>
            <w:tcW w:type="dxa" w:w="1928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Второстепенный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 (главная)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Обсудить ваш проект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Смотреть примеры проектов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/service-map/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Подобрать сервис под ваш проект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/about/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Обсудить ваш проект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Смотреть примеры проектов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/about_company/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Обсудить ваш проект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/experience/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Обсудить похожий проект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/team/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Обсудить ваш проект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/contacts/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 (только форма внизу)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Обсудить ваш проект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/jobs/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нет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Откликнуться на вакансию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Страницы кейсов (16)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только «Другие проекты»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Обсудить похожую задачу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7"/>
              </w:rPr>
              <w:t>Другие проекты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 w:eastAsia="Arial"/>
          <w:b/>
          <w:i w:val="0"/>
          <w:color w:val="1A1A1A"/>
          <w:sz w:val="23"/>
        </w:rPr>
        <w:t>Требования к кнопкам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Единая формулировка главного действия по всему сайту — «Обсудить ваш проект». Разнобой «Заказать сервис» / «Узнать подробнее» / «Обратный звонок» снижает узнаваемость действия.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Кнопка ведёт на форму, а не на страницу контактов: чем меньше шагов, тем выше конверсия.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В форму передаётся скрытым полем адрес страницы, с которой пришёл человек, — иначе непонятно, какой раздел приносит заявки.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На длинных страницах кнопка повторяется: после первого экрана и в конце материала.</w:t>
      </w:r>
    </w:p>
    <w:p>
      <w:pPr>
        <w:pStyle w:val="ListBullet"/>
        <w:spacing w:after="60" w:line="288" w:lineRule="auto"/>
      </w:pPr>
      <w:r>
        <w:rPr>
          <w:rFonts w:ascii="Georgia" w:hAnsi="Georgia"/>
          <w:color w:val="1A1A1A"/>
          <w:sz w:val="21"/>
        </w:rPr>
        <w:t>Один главный CTA на экран. Второстепенное действие — текстовой ссылкой, не кнопкой.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2F3"/>
          </w:tcPr>
          <w:p>
            <w:pPr>
              <w:spacing w:before="80" w:after="80"/>
            </w:pPr>
            <w:r/>
            <w:r>
              <w:rPr>
                <w:rFonts w:ascii="Georgia" w:hAnsi="Georgia"/>
                <w:i/>
                <w:sz w:val="20"/>
              </w:rPr>
              <w:t>Замечание за рамками пункта, но по той же теме: на страницах «Презентации», PM GUIDE, PM GATE, PM PORTfolio и PM Benchmark стоят кнопки «Скачать PDF» и «Скачать презентацию», которые отдают материалы без запроса контакта. Это готовый источник заявок: человек, скачивающий стандарт управления проектами, — целевой посетитель. Стоит рассмотреть выдачу хотя бы части материалов после короткой формы.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20"/>
      </w:pPr>
      <w:r>
        <w:rPr>
          <w:rFonts w:ascii="Arial" w:hAnsi="Arial" w:eastAsia="Arial"/>
          <w:b/>
          <w:i w:val="0"/>
          <w:color w:val="852A34"/>
          <w:sz w:val="28"/>
        </w:rPr>
        <w:t>Порядок выполнения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Очередь</w:t>
            </w:r>
          </w:p>
        </w:tc>
        <w:tc>
          <w:tcPr>
            <w:tcW w:type="dxa" w:w="4535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Что</w:t>
            </w:r>
          </w:p>
        </w:tc>
        <w:tc>
          <w:tcPr>
            <w:tcW w:type="dxa" w:w="1701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Кто</w:t>
            </w:r>
          </w:p>
        </w:tc>
        <w:tc>
          <w:tcPr>
            <w:tcW w:type="dxa" w:w="1361"/>
            <w:shd w:val="clear" w:color="auto" w:fill="852A3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Оценка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Контакты: единый e-mail, единый адрес, правка микроразметки (раздел 3)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Контент + IT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полдня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Description для 15 страниц (раздел 2)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Контент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полдня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Title для 25 приоритетных страниц (раздел 1)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Контент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 день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CTA на 8 страницах и в кейсах (раздел 5)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IT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 день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Кейсы: карточки с анонсами, ссылки, sitemap, редиректы, H1, микроразметка (раздел 4)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IT + контент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3–4 дня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6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Title для остальных 80 страниц по шаблонам (раздел 1)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Контент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Georgia" w:hAnsi="Georgia"/>
                <w:sz w:val="19"/>
              </w:rPr>
              <w:t>1–2 дня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  <w:t>Порядок выбран по соотношению эффекта и трудозатрат: сначала то, что делается без разработки, затем работы, требующие вёрстки. Раздел 4 стоит последним по очереди, но он даёт наибольший прирост — все предыдущие правки готовят к нему почву.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2F3"/>
          </w:tcPr>
          <w:p>
            <w:pPr>
              <w:spacing w:before="80" w:after="80"/>
            </w:pPr>
            <w:r/>
            <w:r>
              <w:rPr>
                <w:rFonts w:ascii="Georgia" w:hAnsi="Georgia"/>
                <w:i/>
                <w:sz w:val="20"/>
              </w:rPr>
              <w:t>Отдельно и вне очереди: на сайте отсутствует код счётчика Яндекс.Метрики — он был снят при обновлении шаблона. Пока счётчик не вернут, эффект всех перечисленных правок измерить нечем. Это правка на десять минут, и её стоит сделать до начала работ.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Georgia" w:hAnsi="Georgia" w:eastAsia="Georgia"/>
          <w:b w:val="0"/>
          <w:i w:val="0"/>
          <w:color w:val="1A1A1A"/>
          <w:sz w:val="21"/>
        </w:rPr>
      </w:r>
    </w:p>
    <w:p>
      <w:pPr>
        <w:spacing w:before="0" w:after="120"/>
      </w:pPr>
      <w:r>
        <w:rPr>
          <w:rFonts w:ascii="Georgia" w:hAnsi="Georgia" w:eastAsia="Georgia"/>
          <w:b w:val="0"/>
          <w:i/>
          <w:color w:val="666666"/>
          <w:sz w:val="18"/>
        </w:rPr>
        <w:t>Документ подготовлен по данным аудита сайта от 3 августа 2026 года.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