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Штаб Кутузова: люди крупных проектов</w:t>
      </w:r>
    </w:p>
    <w:p>
      <w:r>
        <w:rPr>
          <w:i/>
        </w:rPr>
        <w:t>Позиционирование для согласования с Александром Кутузовым</w:t>
      </w:r>
    </w:p>
    <w:p/>
    <w:p>
      <w:pPr>
        <w:pStyle w:val="Heading1"/>
      </w:pPr>
      <w:r>
        <w:t>Суть рубрики</w:t>
      </w:r>
    </w:p>
    <w:p>
      <w:r>
        <w:t>Ежемесячный прямой эфир, где Александр Кутузов беседует с руководителем, который реально управлял крупным или мегапроектом — нефтегазовым, горнодобывающим, инфраструктурным. Один гость, один проект, один главный урок.</w:t>
      </w:r>
    </w:p>
    <w:p>
      <w:pPr>
        <w:pStyle w:val="Heading1"/>
      </w:pPr>
      <w:r>
        <w:t>Целевая аудитория</w:t>
      </w:r>
    </w:p>
    <w:p>
      <w:r>
        <w:t>Генеральные директора, директора по развитию, руководители проектных офисов и топ-менеджеры, принимающие решения о запуске и управлении крупными инвестиционными проектами.</w:t>
      </w:r>
    </w:p>
    <w:p>
      <w:r>
        <w:t>Рубрика не ориентирована на планировщиков и методологов.</w:t>
      </w:r>
    </w:p>
    <w:p>
      <w:pPr>
        <w:pStyle w:val="Heading1"/>
      </w:pPr>
      <w:r>
        <w:t>Ключевой посыл</w:t>
      </w:r>
    </w:p>
    <w:p>
      <w:r>
        <w:rPr>
          <w:i/>
        </w:rPr>
        <w:t>Не консалтинг и не методология. Разговор практика с практиком — о конкретных решениях, реальных ошибках и деньгах.</w:t>
      </w:r>
    </w:p>
    <w:p>
      <w:pPr>
        <w:pStyle w:val="Heading1"/>
      </w:pPr>
      <w:r>
        <w:t>Ценность для аудитории</w:t>
      </w:r>
    </w:p>
    <w:p>
      <w:pPr>
        <w:pStyle w:val="ListBullet"/>
      </w:pPr>
      <w:r>
        <w:t>Реальный опыт с крупных объектов, а не теория</w:t>
      </w:r>
    </w:p>
    <w:p>
      <w:pPr>
        <w:pStyle w:val="ListBullet"/>
      </w:pPr>
      <w:r>
        <w:t>Понимание, как отличить сильного РП от слабого до того, как ему доверили бюджет</w:t>
      </w:r>
    </w:p>
    <w:p>
      <w:pPr>
        <w:pStyle w:val="ListBullet"/>
      </w:pPr>
      <w:r>
        <w:t>Чужие ошибки до того, как они стали вашими</w:t>
      </w:r>
    </w:p>
    <w:p>
      <w:pPr>
        <w:pStyle w:val="Heading1"/>
      </w:pPr>
      <w:r>
        <w:t>Формат</w:t>
      </w:r>
    </w:p>
    <w:p>
      <w:pPr>
        <w:pStyle w:val="ListBullet"/>
      </w:pPr>
      <w:r>
        <w:t>Прямой эфир раз в месяц</w:t>
      </w:r>
    </w:p>
    <w:p>
      <w:pPr>
        <w:pStyle w:val="ListBullet"/>
      </w:pPr>
      <w:r>
        <w:t>Длительность — 60 минут</w:t>
      </w:r>
    </w:p>
    <w:p>
      <w:pPr>
        <w:pStyle w:val="ListBullet"/>
      </w:pPr>
      <w:r>
        <w:t>Трансляция в социальных сетях</w:t>
      </w:r>
    </w:p>
    <w:p>
      <w:pPr>
        <w:pStyle w:val="ListBullet"/>
      </w:pPr>
      <w:r>
        <w:t>Живые вопросы от аудитории</w:t>
      </w:r>
    </w:p>
    <w:p>
      <w:pPr>
        <w:pStyle w:val="ListBullet"/>
      </w:pPr>
      <w:r>
        <w:t>Запись доступна после эфира</w:t>
      </w:r>
    </w:p>
    <w:p>
      <w:pPr>
        <w:pStyle w:val="Heading1"/>
      </w:pPr>
      <w:r>
        <w:t>Первый выпуск</w:t>
      </w:r>
    </w:p>
    <w:p>
      <w:r>
        <w:rPr>
          <w:b/>
        </w:rPr>
        <w:t xml:space="preserve">Дата: </w:t>
      </w:r>
      <w:r>
        <w:t>28 мая 2026</w:t>
      </w:r>
    </w:p>
    <w:p>
      <w:r>
        <w:rPr>
          <w:b/>
        </w:rPr>
        <w:t xml:space="preserve">Гость: </w:t>
      </w:r>
      <w:r>
        <w:t>Михаил Даич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