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Прогноз стоимости кликов — Gradenta</w:t>
      </w:r>
    </w:p>
    <w:p>
      <w:r>
        <w:rPr>
          <w:i/>
        </w:rPr>
        <w:t>Оценка на основе анализа рынка Яндекс Директ. Погрешность ±30–40%.</w:t>
      </w:r>
    </w:p>
    <w:p/>
    <w:p>
      <w:pPr>
        <w:pStyle w:val="Heading1"/>
      </w:pPr>
      <w:r>
        <w:t>Ключевые слова и стоимость кликов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Ключевое слово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Частота/мес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Оценка CPC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Бюджет на 100 кликов</w:t>
            </w:r>
          </w:p>
        </w:tc>
      </w:tr>
      <w:tr>
        <w:tc>
          <w:tcPr>
            <w:tcW w:type="dxa" w:w="2351"/>
          </w:tcPr>
          <w:p>
            <w:r>
              <w:t>Управление строительством</w:t>
            </w:r>
          </w:p>
        </w:tc>
        <w:tc>
          <w:tcPr>
            <w:tcW w:type="dxa" w:w="2351"/>
          </w:tcPr>
          <w:p>
            <w:r>
              <w:t>49 569</w:t>
            </w:r>
          </w:p>
        </w:tc>
        <w:tc>
          <w:tcPr>
            <w:tcW w:type="dxa" w:w="2351"/>
          </w:tcPr>
          <w:p>
            <w:r>
              <w:t>200–400 руб</w:t>
            </w:r>
          </w:p>
        </w:tc>
        <w:tc>
          <w:tcPr>
            <w:tcW w:type="dxa" w:w="2351"/>
          </w:tcPr>
          <w:p>
            <w:r>
              <w:t>20 000–40 000 руб</w:t>
            </w:r>
          </w:p>
        </w:tc>
      </w:tr>
      <w:tr>
        <w:tc>
          <w:tcPr>
            <w:tcW w:type="dxa" w:w="2351"/>
          </w:tcPr>
          <w:p>
            <w:r>
              <w:t>КСП / КСГ / КСМ (с уточнениями)</w:t>
            </w:r>
          </w:p>
        </w:tc>
        <w:tc>
          <w:tcPr>
            <w:tcW w:type="dxa" w:w="2351"/>
          </w:tcPr>
          <w:p>
            <w:r>
              <w:t>5 000–15 000</w:t>
            </w:r>
          </w:p>
        </w:tc>
        <w:tc>
          <w:tcPr>
            <w:tcW w:type="dxa" w:w="2351"/>
          </w:tcPr>
          <w:p>
            <w:r>
              <w:t>100–200 руб</w:t>
            </w:r>
          </w:p>
        </w:tc>
        <w:tc>
          <w:tcPr>
            <w:tcW w:type="dxa" w:w="2351"/>
          </w:tcPr>
          <w:p>
            <w:r>
              <w:t>10 000–20 000 руб</w:t>
            </w:r>
          </w:p>
        </w:tc>
      </w:tr>
      <w:tr>
        <w:tc>
          <w:tcPr>
            <w:tcW w:type="dxa" w:w="2351"/>
          </w:tcPr>
          <w:p>
            <w:r>
              <w:t>Ведомость объемов работ</w:t>
            </w:r>
          </w:p>
        </w:tc>
        <w:tc>
          <w:tcPr>
            <w:tcW w:type="dxa" w:w="2351"/>
          </w:tcPr>
          <w:p>
            <w:r>
              <w:t>15 230</w:t>
            </w:r>
          </w:p>
        </w:tc>
        <w:tc>
          <w:tcPr>
            <w:tcW w:type="dxa" w:w="2351"/>
          </w:tcPr>
          <w:p>
            <w:r>
              <w:t>80–160 руб</w:t>
            </w:r>
          </w:p>
        </w:tc>
        <w:tc>
          <w:tcPr>
            <w:tcW w:type="dxa" w:w="2351"/>
          </w:tcPr>
          <w:p>
            <w:r>
              <w:t>8 000–16 000 руб</w:t>
            </w:r>
          </w:p>
        </w:tc>
      </w:tr>
      <w:tr>
        <w:tc>
          <w:tcPr>
            <w:tcW w:type="dxa" w:w="2351"/>
          </w:tcPr>
          <w:p>
            <w:r>
              <w:t>Календарно-сетевое планирование</w:t>
            </w:r>
          </w:p>
        </w:tc>
        <w:tc>
          <w:tcPr>
            <w:tcW w:type="dxa" w:w="2351"/>
          </w:tcPr>
          <w:p>
            <w:r>
              <w:t>1 891</w:t>
            </w:r>
          </w:p>
        </w:tc>
        <w:tc>
          <w:tcPr>
            <w:tcW w:type="dxa" w:w="2351"/>
          </w:tcPr>
          <w:p>
            <w:r>
              <w:t>80–150 руб</w:t>
            </w:r>
          </w:p>
        </w:tc>
        <w:tc>
          <w:tcPr>
            <w:tcW w:type="dxa" w:w="2351"/>
          </w:tcPr>
          <w:p>
            <w:r>
              <w:t>8 000–15 000 руб</w:t>
            </w:r>
          </w:p>
        </w:tc>
      </w:tr>
      <w:tr>
        <w:tc>
          <w:tcPr>
            <w:tcW w:type="dxa" w:w="2351"/>
          </w:tcPr>
          <w:p>
            <w:r>
              <w:t>Цифровизация строительства</w:t>
            </w:r>
          </w:p>
        </w:tc>
        <w:tc>
          <w:tcPr>
            <w:tcW w:type="dxa" w:w="2351"/>
          </w:tcPr>
          <w:p>
            <w:r>
              <w:t>920</w:t>
            </w:r>
          </w:p>
        </w:tc>
        <w:tc>
          <w:tcPr>
            <w:tcW w:type="dxa" w:w="2351"/>
          </w:tcPr>
          <w:p>
            <w:r>
              <w:t>100–250 руб</w:t>
            </w:r>
          </w:p>
        </w:tc>
        <w:tc>
          <w:tcPr>
            <w:tcW w:type="dxa" w:w="2351"/>
          </w:tcPr>
          <w:p>
            <w:r>
              <w:t>10 000–25 000 руб</w:t>
            </w:r>
          </w:p>
        </w:tc>
      </w:tr>
      <w:tr>
        <w:tc>
          <w:tcPr>
            <w:tcW w:type="dxa" w:w="2351"/>
          </w:tcPr>
          <w:p>
            <w:r>
              <w:t>ИИ в строительстве</w:t>
            </w:r>
          </w:p>
        </w:tc>
        <w:tc>
          <w:tcPr>
            <w:tcW w:type="dxa" w:w="2351"/>
          </w:tcPr>
          <w:p>
            <w:r>
              <w:t>2 443</w:t>
            </w:r>
          </w:p>
        </w:tc>
        <w:tc>
          <w:tcPr>
            <w:tcW w:type="dxa" w:w="2351"/>
          </w:tcPr>
          <w:p>
            <w:r>
              <w:t>100–200 руб</w:t>
            </w:r>
          </w:p>
        </w:tc>
        <w:tc>
          <w:tcPr>
            <w:tcW w:type="dxa" w:w="2351"/>
          </w:tcPr>
          <w:p>
            <w:r>
              <w:t>10 000–20 000 руб</w:t>
            </w:r>
          </w:p>
        </w:tc>
      </w:tr>
      <w:tr>
        <w:tc>
          <w:tcPr>
            <w:tcW w:type="dxa" w:w="2351"/>
          </w:tcPr>
          <w:p>
            <w:r>
              <w:t>Комплектовочная ведомость</w:t>
            </w:r>
          </w:p>
        </w:tc>
        <w:tc>
          <w:tcPr>
            <w:tcW w:type="dxa" w:w="2351"/>
          </w:tcPr>
          <w:p>
            <w:r>
              <w:t>1 183</w:t>
            </w:r>
          </w:p>
        </w:tc>
        <w:tc>
          <w:tcPr>
            <w:tcW w:type="dxa" w:w="2351"/>
          </w:tcPr>
          <w:p>
            <w:r>
              <w:t>60–120 руб</w:t>
            </w:r>
          </w:p>
        </w:tc>
        <w:tc>
          <w:tcPr>
            <w:tcW w:type="dxa" w:w="2351"/>
          </w:tcPr>
          <w:p>
            <w:r>
              <w:t>6 000–12 000 руб</w:t>
            </w:r>
          </w:p>
        </w:tc>
      </w:tr>
      <w:tr>
        <w:tc>
          <w:tcPr>
            <w:tcW w:type="dxa" w:w="2351"/>
          </w:tcPr>
          <w:p>
            <w:r>
              <w:t>Ведомость объемов материалов</w:t>
            </w:r>
          </w:p>
        </w:tc>
        <w:tc>
          <w:tcPr>
            <w:tcW w:type="dxa" w:w="2351"/>
          </w:tcPr>
          <w:p>
            <w:r>
              <w:t>397</w:t>
            </w:r>
          </w:p>
        </w:tc>
        <w:tc>
          <w:tcPr>
            <w:tcW w:type="dxa" w:w="2351"/>
          </w:tcPr>
          <w:p>
            <w:r>
              <w:t>60–120 руб</w:t>
            </w:r>
          </w:p>
        </w:tc>
        <w:tc>
          <w:tcPr>
            <w:tcW w:type="dxa" w:w="2351"/>
          </w:tcPr>
          <w:p>
            <w:r>
              <w:t>6 000–12 000 руб</w:t>
            </w:r>
          </w:p>
        </w:tc>
      </w:tr>
      <w:tr>
        <w:tc>
          <w:tcPr>
            <w:tcW w:type="dxa" w:w="2351"/>
          </w:tcPr>
          <w:p>
            <w:r>
              <w:t>Сетевой график строительства</w:t>
            </w:r>
          </w:p>
        </w:tc>
        <w:tc>
          <w:tcPr>
            <w:tcW w:type="dxa" w:w="2351"/>
          </w:tcPr>
          <w:p>
            <w:r>
              <w:t>~500</w:t>
            </w:r>
          </w:p>
        </w:tc>
        <w:tc>
          <w:tcPr>
            <w:tcW w:type="dxa" w:w="2351"/>
          </w:tcPr>
          <w:p>
            <w:r>
              <w:t>80–150 руб</w:t>
            </w:r>
          </w:p>
        </w:tc>
        <w:tc>
          <w:tcPr>
            <w:tcW w:type="dxa" w:w="2351"/>
          </w:tcPr>
          <w:p>
            <w:r>
              <w:t>8 000–15 000 руб</w:t>
            </w:r>
          </w:p>
        </w:tc>
      </w:tr>
      <w:tr>
        <w:tc>
          <w:tcPr>
            <w:tcW w:type="dxa" w:w="2351"/>
          </w:tcPr>
          <w:p>
            <w:r>
              <w:t>Программа управления строительством</w:t>
            </w:r>
          </w:p>
        </w:tc>
        <w:tc>
          <w:tcPr>
            <w:tcW w:type="dxa" w:w="2351"/>
          </w:tcPr>
          <w:p>
            <w:r>
              <w:t>~800</w:t>
            </w:r>
          </w:p>
        </w:tc>
        <w:tc>
          <w:tcPr>
            <w:tcW w:type="dxa" w:w="2351"/>
          </w:tcPr>
          <w:p>
            <w:r>
              <w:t>100–180 руб</w:t>
            </w:r>
          </w:p>
        </w:tc>
        <w:tc>
          <w:tcPr>
            <w:tcW w:type="dxa" w:w="2351"/>
          </w:tcPr>
          <w:p>
            <w:r>
              <w:t>10 000–18 000 руб</w:t>
            </w:r>
          </w:p>
        </w:tc>
      </w:tr>
      <w:tr>
        <w:tc>
          <w:tcPr>
            <w:tcW w:type="dxa" w:w="2351"/>
          </w:tcPr>
          <w:p>
            <w:r>
              <w:t>Справочник видов работ</w:t>
            </w:r>
          </w:p>
        </w:tc>
        <w:tc>
          <w:tcPr>
            <w:tcW w:type="dxa" w:w="2351"/>
          </w:tcPr>
          <w:p>
            <w:r>
              <w:t>680</w:t>
            </w:r>
          </w:p>
        </w:tc>
        <w:tc>
          <w:tcPr>
            <w:tcW w:type="dxa" w:w="2351"/>
          </w:tcPr>
          <w:p>
            <w:r>
              <w:t>40–80 руб</w:t>
            </w:r>
          </w:p>
        </w:tc>
        <w:tc>
          <w:tcPr>
            <w:tcW w:type="dxa" w:w="2351"/>
          </w:tcPr>
          <w:p>
            <w:r>
              <w:t>4 000–8 000 руб</w:t>
            </w:r>
          </w:p>
        </w:tc>
      </w:tr>
      <w:tr>
        <w:tc>
          <w:tcPr>
            <w:tcW w:type="dxa" w:w="2351"/>
          </w:tcPr>
          <w:p>
            <w:r>
              <w:t>Программа для КСГ</w:t>
            </w:r>
          </w:p>
        </w:tc>
        <w:tc>
          <w:tcPr>
            <w:tcW w:type="dxa" w:w="2351"/>
          </w:tcPr>
          <w:p>
            <w:r>
              <w:t>~300</w:t>
            </w:r>
          </w:p>
        </w:tc>
        <w:tc>
          <w:tcPr>
            <w:tcW w:type="dxa" w:w="2351"/>
          </w:tcPr>
          <w:p>
            <w:r>
              <w:t>70–130 руб</w:t>
            </w:r>
          </w:p>
        </w:tc>
        <w:tc>
          <w:tcPr>
            <w:tcW w:type="dxa" w:w="2351"/>
          </w:tcPr>
          <w:p>
            <w:r>
              <w:t>7 000–13 000 руб</w:t>
            </w:r>
          </w:p>
        </w:tc>
      </w:tr>
    </w:tbl>
    <w:p/>
    <w:p>
      <w:pPr>
        <w:pStyle w:val="Heading1"/>
      </w:pPr>
      <w:r>
        <w:t>Оценка стартового бюджета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Бюджет/месяц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Что получите</w:t>
            </w:r>
          </w:p>
        </w:tc>
      </w:tr>
      <w:tr>
        <w:tc>
          <w:tcPr>
            <w:tcW w:type="dxa" w:w="3135"/>
          </w:tcPr>
          <w:p>
            <w:r>
              <w:t>Минимальный</w:t>
            </w:r>
          </w:p>
        </w:tc>
        <w:tc>
          <w:tcPr>
            <w:tcW w:type="dxa" w:w="3135"/>
          </w:tcPr>
          <w:p>
            <w:r>
              <w:t>30 000–50 000 руб</w:t>
            </w:r>
          </w:p>
        </w:tc>
        <w:tc>
          <w:tcPr>
            <w:tcW w:type="dxa" w:w="3135"/>
          </w:tcPr>
          <w:p>
            <w:r>
              <w:t>200–400 кликов, узкие запросы</w:t>
            </w:r>
          </w:p>
        </w:tc>
      </w:tr>
      <w:tr>
        <w:tc>
          <w:tcPr>
            <w:tcW w:type="dxa" w:w="3135"/>
          </w:tcPr>
          <w:p>
            <w:r>
              <w:t>Оптимальный</w:t>
            </w:r>
          </w:p>
        </w:tc>
        <w:tc>
          <w:tcPr>
            <w:tcW w:type="dxa" w:w="3135"/>
          </w:tcPr>
          <w:p>
            <w:r>
              <w:t>80 000–120 000 руб</w:t>
            </w:r>
          </w:p>
        </w:tc>
        <w:tc>
          <w:tcPr>
            <w:tcW w:type="dxa" w:w="3135"/>
          </w:tcPr>
          <w:p>
            <w:r>
              <w:t>600–900 кликов, основные кластеры</w:t>
            </w:r>
          </w:p>
        </w:tc>
      </w:tr>
      <w:tr>
        <w:tc>
          <w:tcPr>
            <w:tcW w:type="dxa" w:w="3135"/>
          </w:tcPr>
          <w:p>
            <w:r>
              <w:t>Агрессивный</w:t>
            </w:r>
          </w:p>
        </w:tc>
        <w:tc>
          <w:tcPr>
            <w:tcW w:type="dxa" w:w="3135"/>
          </w:tcPr>
          <w:p>
            <w:r>
              <w:t>200 000+ руб</w:t>
            </w:r>
          </w:p>
        </w:tc>
        <w:tc>
          <w:tcPr>
            <w:tcW w:type="dxa" w:w="3135"/>
          </w:tcPr>
          <w:p>
            <w:r>
              <w:t>1 500+ кликов, все кластеры</w:t>
            </w:r>
          </w:p>
        </w:tc>
      </w:tr>
    </w:tbl>
    <w:p/>
    <w:p>
      <w:pPr>
        <w:pStyle w:val="Heading1"/>
      </w:pPr>
      <w:r>
        <w:t>Рекомендация</w:t>
      </w:r>
    </w:p>
    <w:p>
      <w:r>
        <w:t>Для Gradenta рекомендуется стартовать с узких профессиональных запросов (ведомость объёмов, КСГ, КСМ) — они дешевле и дают более целевой трафик, чем широкое «управление строительством». После получения доступа к API Яндекс Директ — данные будут уточнены с реальными ставками.</w:t>
      </w:r>
    </w:p>
    <w:p/>
    <w:p>
      <w:r>
        <w:rPr>
          <w:i/>
          <w:sz w:val="18"/>
        </w:rPr>
        <w:t>* Точные данные будут получены через API Яндекс Директ после одобрения заявки на доступ.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