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52A34"/>
          <w:sz w:val="40"/>
        </w:rPr>
        <w:t>Приложение № 1 к договору подряда</w:t>
      </w:r>
    </w:p>
    <w:p>
      <w:r>
        <w:rPr>
          <w:b/>
        </w:rPr>
        <w:t>Задачи ДИЗАЙНЕРА (UX/UI)</w:t>
      </w:r>
    </w:p>
    <w:p>
      <w:r>
        <w:rPr>
          <w:i/>
          <w:color w:val="666666"/>
          <w:sz w:val="23"/>
        </w:rPr>
        <w:t>Проект: флагманский B2B-сайт РМ Групп — аутсорсинг линейного персонала</w:t>
      </w:r>
    </w:p>
    <w:p/>
    <w:p>
      <w:r>
        <w:rPr>
          <w:b w:val="0"/>
        </w:rPr>
        <w:t>Предмет работ: разработка дизайн-макетов флагманского B2B-сайта РМ Групп в трёх адаптивных версиях для каждого типа страницы, формирование дизайн-системы и передача макетов в работу разработчику.</w:t>
      </w:r>
    </w:p>
    <w:p>
      <w:pPr>
        <w:spacing w:before="280" w:after="80"/>
      </w:pPr>
      <w:r>
        <w:rPr>
          <w:b/>
          <w:color w:val="852A34"/>
          <w:sz w:val="27"/>
        </w:rPr>
        <w:t>1. Адаптивность (обязательное требование к каждому макету)</w:t>
      </w:r>
    </w:p>
    <w:p>
      <w:r>
        <w:rPr>
          <w:b w:val="0"/>
        </w:rPr>
        <w:t>Каждый шаблон страницы предоставляется в трёх контрольных точках: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852A34"/>
          </w:tcPr>
          <w:p>
            <w:r>
              <w:rPr>
                <w:b/>
                <w:color w:val="FFFFFF"/>
                <w:sz w:val="21"/>
              </w:rPr>
              <w:t>Версия</w:t>
            </w:r>
          </w:p>
        </w:tc>
        <w:tc>
          <w:tcPr>
            <w:tcW w:type="dxa" w:w="2835"/>
            <w:shd w:val="clear" w:color="auto" w:fill="852A34"/>
          </w:tcPr>
          <w:p>
            <w:r>
              <w:rPr>
                <w:b/>
                <w:color w:val="FFFFFF"/>
                <w:sz w:val="21"/>
              </w:rPr>
              <w:t>Ширина макета</w:t>
            </w:r>
          </w:p>
        </w:tc>
        <w:tc>
          <w:tcPr>
            <w:tcW w:type="dxa" w:w="4252"/>
            <w:shd w:val="clear" w:color="auto" w:fill="852A34"/>
          </w:tcPr>
          <w:p>
            <w:r>
              <w:rPr>
                <w:b/>
                <w:color w:val="FFFFFF"/>
                <w:sz w:val="21"/>
              </w:rPr>
              <w:t>Особенности проработки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ПК (Desktop)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1440 px (сетка 1280 px)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Полная сетка, мега-меню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Планшет (Tablet)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768 px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Перестроение блоков, бургер-меню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Мобильная (Mobile)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375 px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Одна колонка, крупные кнопки</w:t>
            </w:r>
          </w:p>
        </w:tc>
      </w:tr>
    </w:tbl>
    <w:p>
      <w:r>
        <w:rPr>
          <w:b w:val="0"/>
        </w:rPr>
        <w:t>Для каждой версии прорабатываются: адаптация сетки, перестроение и порядок блоков, поведение навигации, размеры шрифтов и кнопок, кликабельные зоны не менее 44 px.</w:t>
      </w:r>
    </w:p>
    <w:p>
      <w:pPr>
        <w:spacing w:before="280" w:after="80"/>
      </w:pPr>
      <w:r>
        <w:rPr>
          <w:b/>
          <w:color w:val="852A34"/>
          <w:sz w:val="27"/>
        </w:rPr>
        <w:t>2. Дизайн-система (UI-kit)</w:t>
      </w:r>
    </w:p>
    <w:p>
      <w:pPr>
        <w:pStyle w:val="ListBullet"/>
      </w:pPr>
      <w:r>
        <w:t>Цветовая палитра, типографика, модульная сетка и система отступов (8-pt grid).</w:t>
      </w:r>
    </w:p>
    <w:p>
      <w:pPr>
        <w:pStyle w:val="ListBullet"/>
      </w:pPr>
      <w:r>
        <w:t>Библиотека компонентов: кнопки, поля форм, карточки (услуга / отрасль / кейс / статья), таблицы, бейджи, аккордеон FAQ, хлебные крошки, слайдеры и карусели, счётчики, бегущая строка логотипов.</w:t>
      </w:r>
    </w:p>
    <w:p>
      <w:pPr>
        <w:pStyle w:val="ListBullet"/>
      </w:pPr>
      <w:r>
        <w:t>Состояния элементов: normal / hover / focus / active / disabled / error.</w:t>
      </w:r>
    </w:p>
    <w:p>
      <w:pPr>
        <w:pStyle w:val="ListBullet"/>
      </w:pPr>
      <w:r>
        <w:t>Иконки и единый стиль иллюстраций и фотографий.</w:t>
      </w:r>
    </w:p>
    <w:p>
      <w:pPr>
        <w:spacing w:before="280" w:after="80"/>
      </w:pPr>
      <w:r>
        <w:rPr>
          <w:b/>
          <w:color w:val="852A34"/>
          <w:sz w:val="27"/>
        </w:rPr>
        <w:t>3. Макеты шаблонов страниц (каждый — в 3 версиях)</w:t>
      </w:r>
    </w:p>
    <w:p>
      <w:pPr>
        <w:pStyle w:val="ListNumber"/>
      </w:pPr>
      <w:r>
        <w:rPr>
          <w:b/>
        </w:rPr>
        <w:t xml:space="preserve">Главная — </w:t>
      </w:r>
      <w:r>
        <w:t>Hero, бегущая строка логотипов, 4 карточки ценности, каталог услуг (6 плиток), 5 отраслей, цифры компании, «Как работаем» (таймлайн 5 шагов), 3 кейса с фильтром, карусель отзывов, медиа-зона, FAQ, форма-CTA.</w:t>
      </w:r>
    </w:p>
    <w:p>
      <w:pPr>
        <w:pStyle w:val="ListNumber"/>
      </w:pPr>
      <w:r>
        <w:rPr>
          <w:b/>
        </w:rPr>
        <w:t xml:space="preserve">Хаб «Услуги» — </w:t>
      </w:r>
      <w:r>
        <w:t>каталог обзорных карточек всех услуг.</w:t>
      </w:r>
    </w:p>
    <w:p>
      <w:pPr>
        <w:pStyle w:val="ListNumber"/>
      </w:pPr>
      <w:r>
        <w:rPr>
          <w:b/>
        </w:rPr>
        <w:t xml:space="preserve">Страница услуги (шаблон уровня 3) — </w:t>
      </w:r>
      <w:r>
        <w:t>описание, схема работы, тарифный блок, кейс, FAQ, форма заявки.</w:t>
      </w:r>
    </w:p>
    <w:p>
      <w:pPr>
        <w:pStyle w:val="ListNumber"/>
      </w:pPr>
      <w:r>
        <w:rPr>
          <w:b/>
        </w:rPr>
        <w:t xml:space="preserve">Хаб «Отрасли» и страница отрасли — </w:t>
      </w:r>
      <w:r>
        <w:t>типовые задачи / решения / кейс отрасли / FAQ / форма с тегом отрасли.</w:t>
      </w:r>
    </w:p>
    <w:p>
      <w:pPr>
        <w:pStyle w:val="ListNumber"/>
      </w:pPr>
      <w:r>
        <w:rPr>
          <w:b/>
        </w:rPr>
        <w:t xml:space="preserve">Хаб «Кейсы» и карточка кейса — </w:t>
      </w:r>
      <w:r>
        <w:t>бейджи, блоки «Задача / Решение / Результаты» (цифры), цитата клиента, похожие кейсы, CTA.</w:t>
      </w:r>
    </w:p>
    <w:p>
      <w:pPr>
        <w:pStyle w:val="ListNumber"/>
      </w:pPr>
      <w:r>
        <w:rPr>
          <w:b/>
        </w:rPr>
        <w:t xml:space="preserve">О компании — </w:t>
      </w:r>
      <w:r>
        <w:t>хаб + подстраницы: история (таймлайн), команда, документы, партнёры, пресса, награды.</w:t>
      </w:r>
    </w:p>
    <w:p>
      <w:pPr>
        <w:pStyle w:val="ListNumber"/>
      </w:pPr>
      <w:r>
        <w:rPr>
          <w:b/>
        </w:rPr>
        <w:t xml:space="preserve">Блог — </w:t>
      </w:r>
      <w:r>
        <w:t>лента блога + шаблон статьи (автор, дата, теги, «Ключевые выводы», CTA в тексте, «Читайте также»).</w:t>
      </w:r>
    </w:p>
    <w:p>
      <w:pPr>
        <w:pStyle w:val="ListNumber"/>
      </w:pPr>
      <w:r>
        <w:rPr>
          <w:b/>
        </w:rPr>
        <w:t xml:space="preserve">Региональная страница — </w:t>
      </w:r>
      <w:r>
        <w:t>локальный оффер, карта, ссылки на услуги, кейс региона, форма с тегом города.</w:t>
      </w:r>
    </w:p>
    <w:p>
      <w:pPr>
        <w:pStyle w:val="ListNumber"/>
      </w:pPr>
      <w:r>
        <w:rPr>
          <w:b/>
        </w:rPr>
        <w:t xml:space="preserve">Калькулятор стоимости — </w:t>
      </w:r>
      <w:r>
        <w:t>интерактив: выбор услуги/отрасли, слайдер 10–5000 сотрудников, город, срок, вывод диапазона стоимости + форма.</w:t>
      </w:r>
    </w:p>
    <w:p>
      <w:pPr>
        <w:pStyle w:val="ListNumber"/>
      </w:pPr>
      <w:r>
        <w:rPr>
          <w:b/>
        </w:rPr>
        <w:t xml:space="preserve">Контакты — </w:t>
      </w:r>
      <w:r>
        <w:t>карта, форма, контакты по направлениям, реквизиты, мессенджеры.</w:t>
      </w:r>
    </w:p>
    <w:p>
      <w:pPr>
        <w:pStyle w:val="ListNumber"/>
      </w:pPr>
      <w:r>
        <w:rPr>
          <w:b/>
        </w:rPr>
        <w:t xml:space="preserve">Служебные страницы — </w:t>
      </w:r>
      <w:r>
        <w:t>брендированная 404, «Спасибо», политика конфиденциальности и пользовательское соглашение (типографика текста).</w:t>
      </w:r>
    </w:p>
    <w:p>
      <w:pPr>
        <w:pStyle w:val="ListNumber"/>
      </w:pPr>
      <w:r>
        <w:rPr>
          <w:b/>
        </w:rPr>
        <w:t xml:space="preserve">Глобальные элементы — </w:t>
      </w:r>
      <w:r>
        <w:t>шапка с мега-меню, подвал, формы-заявки, всплывающие окна (поп-ап CTA).</w:t>
      </w:r>
    </w:p>
    <w:p>
      <w:pPr>
        <w:spacing w:before="280" w:after="80"/>
      </w:pPr>
      <w:r>
        <w:rPr>
          <w:b/>
          <w:color w:val="852A34"/>
          <w:sz w:val="27"/>
        </w:rPr>
        <w:t>4. Прототипирование и передача</w:t>
      </w:r>
    </w:p>
    <w:p>
      <w:pPr>
        <w:pStyle w:val="ListBullet"/>
      </w:pPr>
      <w:r>
        <w:t>Кликабельный прототип ключевого пользовательского пути (Главная → Услуга → Форма) для согласования логики.</w:t>
      </w:r>
    </w:p>
    <w:p>
      <w:pPr>
        <w:pStyle w:val="ListBullet"/>
      </w:pPr>
      <w:r>
        <w:t>Передача макетов в Figma: организованные слои, авто-лейаут, компоненты, спецификация отступов и стилей (Dev Mode).</w:t>
      </w:r>
    </w:p>
    <w:p>
      <w:pPr>
        <w:pStyle w:val="ListBullet"/>
      </w:pPr>
      <w:r>
        <w:t>Экспорт всех графических ассетов (иконки в SVG, изображения) для разработчика.</w:t>
      </w:r>
    </w:p>
    <w:p>
      <w:pPr>
        <w:spacing w:before="280" w:after="80"/>
      </w:pPr>
      <w:r>
        <w:rPr>
          <w:b/>
          <w:color w:val="852A34"/>
          <w:sz w:val="27"/>
        </w:rPr>
        <w:t>5. Результат (Deliverables)</w:t>
      </w:r>
    </w:p>
    <w:p>
      <w:r>
        <w:rPr>
          <w:b w:val="0"/>
        </w:rPr>
        <w:t>Согласованные макеты всех 12 шаблонов в трёх адаптивных версиях (ПК, планшет, мобильная), дизайн-система (UI-kit), кликабельный прототип и комплект ассетов. Формат передачи — файл Figma с предоставлением доступа IT-специалисту.</w:t>
      </w:r>
    </w:p>
    <w:p/>
    <w:p>
      <w:pPr>
        <w:jc w:val="center"/>
      </w:pPr>
      <w:r>
        <w:rPr>
          <w:i/>
          <w:color w:val="666666"/>
          <w:sz w:val="17"/>
        </w:rPr>
        <w:t>РМ Групп · Флагманский B2B-сайт · Приложение к договору подряда · Версия 1.0 · Июнь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