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52A34"/>
          <w:sz w:val="40"/>
        </w:rPr>
        <w:t>Приложение № 2 к договору подряда</w:t>
      </w:r>
    </w:p>
    <w:p>
      <w:r>
        <w:rPr>
          <w:b/>
        </w:rPr>
        <w:t>Задачи IT-СПЕЦИАЛИСТА (разработка)</w:t>
      </w:r>
    </w:p>
    <w:p>
      <w:r>
        <w:rPr>
          <w:i/>
          <w:color w:val="666666"/>
          <w:sz w:val="23"/>
        </w:rPr>
        <w:t>Проект: флагманский B2B-сайт РМ Групп — аутсорсинг линейного персонала</w:t>
      </w:r>
    </w:p>
    <w:p/>
    <w:p>
      <w:r>
        <w:rPr>
          <w:b w:val="0"/>
        </w:rPr>
        <w:t>Предмет работ: разработка, вёрстка и запуск флагманского B2B-сайта РМ Групп по утверждённым дизайн-макетам, с адаптивной вёрсткой для ПК, планшета и мобильных устройств, настройкой SEO-инфраструктуры, форм, интеграций и аналитики.</w:t>
      </w:r>
    </w:p>
    <w:p>
      <w:pPr>
        <w:spacing w:before="280" w:after="80"/>
      </w:pPr>
      <w:r>
        <w:rPr>
          <w:b/>
          <w:color w:val="852A34"/>
          <w:sz w:val="27"/>
        </w:rPr>
        <w:t>1. Адаптивная вёрстка (обязательное требование)</w:t>
      </w:r>
    </w:p>
    <w:p>
      <w:r>
        <w:rPr>
          <w:b w:val="0"/>
        </w:rPr>
        <w:t>Вёрстка каждой страницы по макетам в трёх контрольных точках по принципу Mobile-first: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852A34"/>
          </w:tcPr>
          <w:p>
            <w:r>
              <w:rPr>
                <w:b/>
                <w:color w:val="FFFFFF"/>
                <w:sz w:val="21"/>
              </w:rPr>
              <w:t>Версия</w:t>
            </w:r>
          </w:p>
        </w:tc>
        <w:tc>
          <w:tcPr>
            <w:tcW w:type="dxa" w:w="3402"/>
            <w:shd w:val="clear" w:color="auto" w:fill="852A34"/>
          </w:tcPr>
          <w:p>
            <w:r>
              <w:rPr>
                <w:b/>
                <w:color w:val="FFFFFF"/>
                <w:sz w:val="21"/>
              </w:rPr>
              <w:t>Контрольная точка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ПК (Desktop)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от 1280 px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Планшет (Tablet)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768–1279 px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Мобильная (Mobile)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до 767 px</w:t>
            </w:r>
          </w:p>
        </w:tc>
      </w:tr>
    </w:tbl>
    <w:p>
      <w:pPr>
        <w:pStyle w:val="ListBullet"/>
      </w:pPr>
      <w:r>
        <w:t>Корректное перестроение блоков, адаптивные меню (бургер), адаптивные изображения (srcset / WebP).</w:t>
      </w:r>
    </w:p>
    <w:p>
      <w:pPr>
        <w:pStyle w:val="ListBullet"/>
      </w:pPr>
      <w:r>
        <w:t>Отсутствие горизонтального скролла, кликабельные зоны не менее 44 px.</w:t>
      </w:r>
    </w:p>
    <w:p>
      <w:pPr>
        <w:pStyle w:val="ListBullet"/>
      </w:pPr>
      <w:r>
        <w:t>Кросс-браузерность: Chrome, Safari, Firefox, Edge, Яндекс.Браузер.</w:t>
      </w:r>
    </w:p>
    <w:p>
      <w:pPr>
        <w:spacing w:before="280" w:after="80"/>
      </w:pPr>
      <w:r>
        <w:rPr>
          <w:b/>
          <w:color w:val="852A34"/>
          <w:sz w:val="27"/>
        </w:rPr>
        <w:t>2. Платформа и архитектура</w:t>
      </w:r>
    </w:p>
    <w:p>
      <w:pPr>
        <w:pStyle w:val="ListBullet"/>
      </w:pPr>
      <w:r>
        <w:t>Выбор и настройка CMS / технологического стека.</w:t>
      </w:r>
    </w:p>
    <w:p>
      <w:pPr>
        <w:pStyle w:val="ListBullet"/>
      </w:pPr>
      <w:r>
        <w:t>Реализация URL-архитектуры по ТЗ (строчные буквы, дефисы, уровни /uslugi/…/…).</w:t>
      </w:r>
    </w:p>
    <w:p>
      <w:pPr>
        <w:pStyle w:val="ListBullet"/>
      </w:pPr>
      <w:r>
        <w:t>Шаблонизация: один шаблон → массовая генерация страниц услуг, отраслей, регионов, кейсов, статей.</w:t>
      </w:r>
    </w:p>
    <w:p>
      <w:pPr>
        <w:pStyle w:val="ListBullet"/>
      </w:pPr>
      <w:r>
        <w:t>Хлебные крошки, мега-меню, подвал, внутренняя перелинковка по схеме из ТЗ (раздел 11.2).</w:t>
      </w:r>
    </w:p>
    <w:p>
      <w:pPr>
        <w:spacing w:before="280" w:after="80"/>
      </w:pPr>
      <w:r>
        <w:rPr>
          <w:b/>
          <w:color w:val="852A34"/>
          <w:sz w:val="27"/>
        </w:rPr>
        <w:t>3. Функциональные блоки</w:t>
      </w:r>
    </w:p>
    <w:p>
      <w:pPr>
        <w:pStyle w:val="ListBullet"/>
      </w:pPr>
      <w:r>
        <w:t>Формы заявок с тегами (услуга / отрасль / город), валидация, защита от спама (капча), отправка в CRM и на e-mail, страница «Спасибо».</w:t>
      </w:r>
    </w:p>
    <w:p>
      <w:pPr>
        <w:pStyle w:val="ListBullet"/>
      </w:pPr>
      <w:r>
        <w:t>Калькулятор стоимости — логика расчёта диапазона по параметрам, передача заполнений в CRM.</w:t>
      </w:r>
    </w:p>
    <w:p>
      <w:pPr>
        <w:pStyle w:val="ListBullet"/>
      </w:pPr>
      <w:r>
        <w:t>Карусели и слайдеры (отзывы, кейсы, логотипы), фильтры кейсов (отрасль / услуга / масштаб), аккордеон FAQ.</w:t>
      </w:r>
    </w:p>
    <w:p>
      <w:pPr>
        <w:pStyle w:val="ListBullet"/>
      </w:pPr>
      <w:r>
        <w:t>Интеграция Яндекс.Карт на страницах контактов и регионов.</w:t>
      </w:r>
    </w:p>
    <w:p>
      <w:pPr>
        <w:pStyle w:val="ListBullet"/>
      </w:pPr>
      <w:r>
        <w:t>Подключение мессенджеров (Telegram, WhatsApp).</w:t>
      </w:r>
    </w:p>
    <w:p>
      <w:pPr>
        <w:spacing w:before="280" w:after="80"/>
      </w:pPr>
      <w:r>
        <w:rPr>
          <w:b/>
          <w:color w:val="852A34"/>
          <w:sz w:val="27"/>
        </w:rPr>
        <w:t>4. SEO-инфраструктура (техническая)</w:t>
      </w:r>
    </w:p>
    <w:p>
      <w:pPr>
        <w:pStyle w:val="ListBullet"/>
      </w:pPr>
      <w:r>
        <w:t>Редактируемые в CMS поля Title, Description, H1, canonical для каждого шаблона.</w:t>
      </w:r>
    </w:p>
    <w:p>
      <w:pPr>
        <w:pStyle w:val="ListBullet"/>
      </w:pPr>
      <w:r>
        <w:t>Микроразметка Schema.org: Organization, WebSite, LocalBusiness, BreadcrumbList, FAQPage, Article, Person, ContactPoint.</w:t>
      </w:r>
    </w:p>
    <w:p>
      <w:pPr>
        <w:pStyle w:val="ListBullet"/>
      </w:pPr>
      <w:r>
        <w:t>Open Graph и Twitter Card на всех публичных страницах.</w:t>
      </w:r>
    </w:p>
    <w:p>
      <w:pPr>
        <w:pStyle w:val="ListBullet"/>
      </w:pPr>
      <w:r>
        <w:t>Автогенерация sitemap.xml при публикации; robots.txt (закрыть /admin/, /search/, UTM-дубли).</w:t>
      </w:r>
    </w:p>
    <w:p>
      <w:pPr>
        <w:pStyle w:val="ListBullet"/>
      </w:pPr>
      <w:r>
        <w:t>Брендированная страница 404; страница «Спасибо» с атрибутом noindex.</w:t>
      </w:r>
    </w:p>
    <w:p>
      <w:pPr>
        <w:pStyle w:val="ListBullet"/>
      </w:pPr>
      <w:r>
        <w:t>Настройка ЧПУ, редиректов, обработка дублей страниц.</w:t>
      </w:r>
    </w:p>
    <w:p>
      <w:pPr>
        <w:spacing w:before="280" w:after="80"/>
      </w:pPr>
      <w:r>
        <w:rPr>
          <w:b/>
          <w:color w:val="852A34"/>
          <w:sz w:val="27"/>
        </w:rPr>
        <w:t>5. Производительность (Core Web Vitals)</w:t>
      </w:r>
    </w:p>
    <w:p>
      <w:pPr>
        <w:pStyle w:val="ListBullet"/>
      </w:pPr>
      <w:r>
        <w:t>LCP не более 2,5 с, CLS не более 0,1, FID/INP в норме.</w:t>
      </w:r>
    </w:p>
    <w:p>
      <w:pPr>
        <w:pStyle w:val="ListBullet"/>
      </w:pPr>
      <w:r>
        <w:t>Оптимизация изображений (WebP, lazy-load), минификация CSS/JS, кэширование, HTTP/2, CDN при необходимости.</w:t>
      </w:r>
    </w:p>
    <w:p>
      <w:pPr>
        <w:spacing w:before="280" w:after="80"/>
      </w:pPr>
      <w:r>
        <w:rPr>
          <w:b/>
          <w:color w:val="852A34"/>
          <w:sz w:val="27"/>
        </w:rPr>
        <w:t>6. Аналитика и вебмастер (до запуска)</w:t>
      </w:r>
    </w:p>
    <w:p>
      <w:pPr>
        <w:pStyle w:val="ListBullet"/>
      </w:pPr>
      <w:r>
        <w:t>Подключение Яндекс.Метрики (счётчик 99547216), настройка целей: отправка форм, калькулятор, клики по мессенджерам.</w:t>
      </w:r>
    </w:p>
    <w:p>
      <w:pPr>
        <w:pStyle w:val="ListBullet"/>
      </w:pPr>
      <w:r>
        <w:t>Подключение Яндекс.Вебмастер, Google Search Console и Google Analytics 4.</w:t>
      </w:r>
    </w:p>
    <w:p>
      <w:pPr>
        <w:spacing w:before="280" w:after="80"/>
      </w:pPr>
      <w:r>
        <w:rPr>
          <w:b/>
          <w:color w:val="852A34"/>
          <w:sz w:val="27"/>
        </w:rPr>
        <w:t>7. Хостинг, безопасность, запуск</w:t>
      </w:r>
    </w:p>
    <w:p>
      <w:pPr>
        <w:pStyle w:val="ListBullet"/>
      </w:pPr>
      <w:r>
        <w:t>Развёртывание на хостинге/сервере, подключение домена, настройка SSL (HTTPS).</w:t>
      </w:r>
    </w:p>
    <w:p>
      <w:pPr>
        <w:pStyle w:val="ListBullet"/>
      </w:pPr>
      <w:r>
        <w:t>Соответствие 152-ФЗ: согласие на обработку персональных данных в формах, ссылка на политику конфиденциальности.</w:t>
      </w:r>
    </w:p>
    <w:p>
      <w:pPr>
        <w:pStyle w:val="ListBullet"/>
      </w:pPr>
      <w:r>
        <w:t>Резервное копирование, базовая защита (firewall, своевременные обновления).</w:t>
      </w:r>
    </w:p>
    <w:p>
      <w:pPr>
        <w:pStyle w:val="ListBullet"/>
      </w:pPr>
      <w:r>
        <w:t>Поэтапный запуск согласно очерёдности из ТЗ (раздел 13): MVP → полный каталог → SEO-масштабирование → экспертный контент.</w:t>
      </w:r>
    </w:p>
    <w:p>
      <w:pPr>
        <w:spacing w:before="280" w:after="80"/>
      </w:pPr>
      <w:r>
        <w:rPr>
          <w:b/>
          <w:color w:val="852A34"/>
          <w:sz w:val="27"/>
        </w:rPr>
        <w:t>8. Результат (Deliverables)</w:t>
      </w:r>
    </w:p>
    <w:p>
      <w:r>
        <w:rPr>
          <w:b w:val="0"/>
        </w:rPr>
        <w:t>Работающий сайт на боевом домене, адаптивный в трёх версиях (ПК, планшет, мобильная), с подключёнными формами и CRM, рабочим калькулятором, настроенной SEO-разметкой и аналитикой, прошедший проверку Core Web Vitals и кросс-браузерное тестирование. Передача доступов и краткой инструкции по администрированию.</w:t>
      </w:r>
    </w:p>
    <w:p/>
    <w:p>
      <w:pPr>
        <w:jc w:val="center"/>
      </w:pPr>
      <w:r>
        <w:rPr>
          <w:i/>
          <w:color w:val="666666"/>
          <w:sz w:val="17"/>
        </w:rPr>
        <w:t>РМ Групп · Флагманский B2B-сайт · Приложение к договору подряда · Версия 1.0 · Июнь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