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6" w:space="1" w:color="0D9488"/>
        </w:pBdr>
      </w:pPr>
    </w:p>
    <w:p>
      <w:pPr>
        <w:spacing w:before="0" w:after="0"/>
        <w:pBdr>
          <w:bottom w:val="single" w:sz="4" w:space="1" w:color="2DD4BF"/>
        </w:pBdr>
      </w:pPr>
    </w:p>
    <w:p>
      <w:pPr>
        <w:spacing w:before="400"/>
        <w:jc w:val="center"/>
      </w:pPr>
      <w:r>
        <w:rPr>
          <w:rFonts w:ascii="Verdana" w:hAnsi="Verdana"/>
          <w:b/>
          <w:i w:val="0"/>
          <w:color w:val="111827"/>
          <w:sz w:val="64"/>
        </w:rPr>
        <w:t>LONG</w:t>
      </w:r>
      <w:r>
        <w:rPr>
          <w:rFonts w:ascii="Verdana" w:hAnsi="Verdana"/>
          <w:b w:val="0"/>
          <w:i w:val="0"/>
          <w:color w:val="111827"/>
          <w:sz w:val="64"/>
        </w:rPr>
        <w:t xml:space="preserve">  </w:t>
      </w:r>
      <w:r>
        <w:rPr>
          <w:rFonts w:ascii="Verdana" w:hAnsi="Verdana"/>
          <w:b/>
          <w:i w:val="0"/>
          <w:color w:val="0D9488"/>
          <w:sz w:val="64"/>
        </w:rPr>
        <w:t>LIFE</w:t>
      </w:r>
    </w:p>
    <w:p>
      <w:pPr>
        <w:spacing w:before="80" w:after="320"/>
        <w:jc w:val="center"/>
      </w:pPr>
      <w:r>
        <w:rPr>
          <w:rFonts w:ascii="Verdana" w:hAnsi="Verdana"/>
          <w:b w:val="0"/>
          <w:i w:val="0"/>
          <w:color w:val="9CA3AF"/>
          <w:sz w:val="18"/>
        </w:rPr>
        <w:t>Аутсорсинг персонала</w:t>
      </w:r>
    </w:p>
    <w:p>
      <w:pPr>
        <w:spacing w:before="0"/>
        <w:jc w:val="center"/>
      </w:pPr>
      <w:r>
        <w:rPr>
          <w:rFonts w:ascii="Verdana" w:hAnsi="Verdana"/>
          <w:b w:val="0"/>
          <w:i w:val="0"/>
          <w:color w:val="374151"/>
          <w:sz w:val="16"/>
        </w:rPr>
        <w:t>105066, г. Москва, Спартаковская ул., д. 4, стр. 1, пом. 1/н</w:t>
      </w:r>
    </w:p>
    <w:p>
      <w:pPr>
        <w:spacing w:before="40" w:after="0"/>
        <w:jc w:val="center"/>
      </w:pPr>
      <w:r>
        <w:rPr>
          <w:rFonts w:ascii="Verdana" w:hAnsi="Verdana"/>
          <w:b w:val="0"/>
          <w:i w:val="0"/>
          <w:color w:val="0D9488"/>
          <w:sz w:val="16"/>
        </w:rPr>
        <w:t>info@long-life.ru</w:t>
      </w:r>
    </w:p>
    <w:p>
      <w:pPr>
        <w:spacing w:before="280" w:after="240"/>
        <w:pBdr>
          <w:bottom w:val="single" w:sz="4" w:space="1" w:color="0D9488"/>
        </w:pBdr>
      </w:pPr>
    </w:p>
    <w:p>
      <w:pPr>
        <w:spacing w:before="120" w:after="120"/>
      </w:pPr>
      <w:r>
        <w:rPr>
          <w:rFonts w:ascii="Verdana" w:hAnsi="Verdana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Verdana" w:hAnsi="Verdana"/>
          <w:b w:val="0"/>
          <w:i w:val="0"/>
          <w:color w:val="111827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Verdana" w:hAnsi="Verdana"/>
          <w:b w:val="0"/>
          <w:i w:val="0"/>
          <w:color w:val="111827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Verdana" w:hAnsi="Verdana"/>
          <w:b w:val="0"/>
          <w:i w:val="0"/>
          <w:color w:val="111827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Verdana" w:hAnsi="Verdana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072"/>
      </w:tblGrid>
      <w:tr>
        <w:tc>
          <w:tcPr>
            <w:tcW w:type="dxa" w:w="9072"/>
            <w:shd w:val="clear" w:color="auto" w:fill="0D948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Verdana" w:hAnsi="Verdana"/>
                <w:b w:val="0"/>
                <w:i w:val="0"/>
                <w:color w:val="FFFFFF"/>
                <w:sz w:val="15"/>
              </w:rPr>
              <w:t>ООО «Лонг Лайф»  ·  ИНН 7709480617  ·  КПП 770101001  ·  ОГРН 5157746193040  ·  info@long-life.ru</w:t>
            </w:r>
          </w:p>
        </w:tc>
      </w:tr>
    </w:tbl>
    <w:sectPr w:rsidR="00FC693F" w:rsidRPr="0006063C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