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/>
          <w:b/>
          <w:color w:val="1F497D"/>
          <w:sz w:val="40"/>
        </w:rPr>
        <w:t>АНАЛИЗ АНГЛИЙСКОЙ ВЕРСИИ САЙТА</w:t>
      </w:r>
    </w:p>
    <w:p>
      <w:pPr>
        <w:spacing w:after="40"/>
        <w:jc w:val="center"/>
      </w:pPr>
      <w:r>
        <w:rPr>
          <w:rFonts w:ascii="Calibri" w:hAnsi="Calibri"/>
          <w:color w:val="595959"/>
          <w:sz w:val="26"/>
        </w:rPr>
        <w:t>pmexcellence.com/eng/ vs pmexcellence.com</w:t>
      </w:r>
    </w:p>
    <w:p>
      <w:pPr>
        <w:spacing w:after="320"/>
        <w:jc w:val="center"/>
      </w:pPr>
      <w:r>
        <w:rPr>
          <w:rFonts w:ascii="Calibri" w:hAnsi="Calibri"/>
          <w:color w:val="828282"/>
          <w:sz w:val="20"/>
        </w:rPr>
        <w:t>Дата: 02.06.2026   |   Подготовлено: PM Excellence / Маркетинг</w:t>
      </w:r>
    </w:p>
    <w:p>
      <w:pPr>
        <w:spacing w:after="280"/>
        <w:pBdr>
          <w:bottom w:val="single" w:sz="6" w:space="1" w:color="1F497D"/>
        </w:pBdr>
      </w:pPr>
    </w:p>
    <w:p>
      <w:pPr>
        <w:spacing w:before="280" w:after="80"/>
      </w:pPr>
      <w:r>
        <w:rPr>
          <w:rFonts w:ascii="Calibri" w:hAnsi="Calibri"/>
          <w:b/>
          <w:color w:val="1F497D"/>
          <w:sz w:val="32"/>
        </w:rPr>
        <w:t>1. КРИТИЧЕСКИЕ СТРУКТУРНЫЕ ПРОБЛЕМЫ</w:t>
      </w:r>
    </w:p>
    <w:p>
      <w:pPr>
        <w:spacing w:before="200" w:after="80"/>
      </w:pPr>
      <w:r>
        <w:rPr>
          <w:rFonts w:ascii="Calibri" w:hAnsi="Calibri"/>
          <w:b/>
          <w:color w:val="00467F"/>
          <w:sz w:val="26"/>
        </w:rPr>
        <w:t>1.1. Английская версия — пустая оболочка</w:t>
      </w:r>
    </w:p>
    <w:p>
      <w:pPr>
        <w:spacing w:after="60"/>
      </w:pPr>
      <w:r>
        <w:rPr>
          <w:rFonts w:ascii="Calibri" w:hAnsi="Calibri"/>
          <w:sz w:val="22"/>
        </w:rPr>
        <w:t>Все внутренние страницы английской версии возвращают ошибку 404 или перенаправляют на заглушку с формой входа. Фактически существует только одна доступная страница — /eng/. Разделы /eng/services/, /eng/about/, /eng/team/, /eng/news/ и другие не существуют. Пользователь видит рабочее меню навигации, кликает — и попадает в никуда.</w:t>
      </w:r>
    </w:p>
    <w:p>
      <w:pPr>
        <w:spacing w:before="80" w:after="120"/>
        <w:ind w:left="283" w:right="283"/>
      </w:pPr>
      <w:r>
        <w:rPr>
          <w:rFonts w:ascii="Calibri" w:hAnsi="Calibri"/>
          <w:i/>
          <w:color w:val="856404"/>
          <w:sz w:val="20"/>
        </w:rPr>
        <w:t>⚠ Меню создаёт иллюзию полноценного сайта, но весь контент за ним отсутствует.</w:t>
      </w:r>
    </w:p>
    <w:p>
      <w:pPr>
        <w:spacing w:before="200" w:after="80"/>
      </w:pPr>
      <w:r>
        <w:rPr>
          <w:rFonts w:ascii="Calibri" w:hAnsi="Calibri"/>
          <w:b/>
          <w:color w:val="00467F"/>
          <w:sz w:val="26"/>
        </w:rPr>
        <w:t>1.2. Контент сайта фактически не переведён</w:t>
      </w:r>
    </w:p>
    <w:p>
      <w:pPr>
        <w:spacing w:after="60"/>
      </w:pPr>
      <w:r>
        <w:rPr>
          <w:rFonts w:ascii="Calibri" w:hAnsi="Calibri"/>
          <w:sz w:val="22"/>
        </w:rPr>
        <w:t>Переведён только один экран — шапка главной страницы. Разделы «О компании», «Сервисы», «Примеры проектов», «Команда», «Медиацентр», статьи и новости доступны исключительно на русском языке.</w:t>
      </w:r>
    </w:p>
    <w:p>
      <w:pPr>
        <w:spacing w:before="280" w:after="80"/>
      </w:pPr>
      <w:r>
        <w:rPr>
          <w:rFonts w:ascii="Calibri" w:hAnsi="Calibri"/>
          <w:b/>
          <w:color w:val="1F497D"/>
          <w:sz w:val="32"/>
        </w:rPr>
        <w:t>2. СМЕШАННЫЙ ЯЗЫК — ИНТЕРФЕЙСНЫЕ ЭЛЕМЕНТЫ НА РУССКОМ</w:t>
      </w:r>
    </w:p>
    <w:p>
      <w:pPr>
        <w:spacing w:after="60"/>
      </w:pPr>
      <w:r>
        <w:rPr>
          <w:rFonts w:ascii="Calibri" w:hAnsi="Calibri"/>
          <w:sz w:val="22"/>
        </w:rPr>
        <w:t>Критические элементы пользовательского интерфейса отображаются на русском языке в контексте английской версии сайта: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Элемент интерфейса</w:t>
            </w:r>
          </w:p>
        </w:tc>
        <w:tc>
          <w:tcPr>
            <w:tcW w:type="dxa" w:w="3685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Текущий текст (RU)</w:t>
            </w:r>
          </w:p>
        </w:tc>
        <w:tc>
          <w:tcPr>
            <w:tcW w:type="dxa" w:w="3685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Должно быть (EN)</w:t>
            </w:r>
          </w:p>
        </w:tc>
      </w:tr>
      <w:tr>
        <w:tc>
          <w:tcPr>
            <w:tcW w:type="dxa" w:w="3230"/>
            <w:shd w:val="clear" w:color="auto" w:fill="F2F7FC"/>
          </w:tcPr>
          <w:p>
            <w:r>
              <w:rPr>
                <w:rFonts w:ascii="Calibri" w:hAnsi="Calibri"/>
                <w:sz w:val="20"/>
              </w:rPr>
              <w:t>Кнопка входа</w:t>
            </w:r>
          </w:p>
        </w:tc>
        <w:tc>
          <w:tcPr>
            <w:tcW w:type="dxa" w:w="3230"/>
            <w:shd w:val="clear" w:color="auto" w:fill="F2F7FC"/>
          </w:tcPr>
          <w:p>
            <w:r>
              <w:rPr>
                <w:rFonts w:ascii="Calibri" w:hAnsi="Calibri"/>
                <w:color w:val="C00000"/>
                <w:sz w:val="20"/>
              </w:rPr>
              <w:t>Войти на сайт</w:t>
            </w:r>
          </w:p>
        </w:tc>
        <w:tc>
          <w:tcPr>
            <w:tcW w:type="dxa" w:w="3230"/>
            <w:shd w:val="clear" w:color="auto" w:fill="F2F7FC"/>
          </w:tcPr>
          <w:p>
            <w:r>
              <w:rPr>
                <w:rFonts w:ascii="Calibri" w:hAnsi="Calibri"/>
                <w:color w:val="007000"/>
                <w:sz w:val="20"/>
              </w:rPr>
              <w:t>Log In / Sign In</w:t>
            </w:r>
          </w:p>
        </w:tc>
      </w:tr>
      <w:tr>
        <w:tc>
          <w:tcPr>
            <w:tcW w:type="dxa" w:w="323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Поле пароля</w:t>
            </w:r>
          </w:p>
        </w:tc>
        <w:tc>
          <w:tcPr>
            <w:tcW w:type="dxa" w:w="3230"/>
            <w:shd w:val="clear" w:color="auto" w:fill="FFFFFF"/>
          </w:tcPr>
          <w:p>
            <w:r>
              <w:rPr>
                <w:rFonts w:ascii="Calibri" w:hAnsi="Calibri"/>
                <w:color w:val="C00000"/>
                <w:sz w:val="20"/>
              </w:rPr>
              <w:t>Пароль:</w:t>
            </w:r>
          </w:p>
        </w:tc>
        <w:tc>
          <w:tcPr>
            <w:tcW w:type="dxa" w:w="3230"/>
            <w:shd w:val="clear" w:color="auto" w:fill="FFFFFF"/>
          </w:tcPr>
          <w:p>
            <w:r>
              <w:rPr>
                <w:rFonts w:ascii="Calibri" w:hAnsi="Calibri"/>
                <w:color w:val="007000"/>
                <w:sz w:val="20"/>
              </w:rPr>
              <w:t>Password:</w:t>
            </w:r>
          </w:p>
        </w:tc>
      </w:tr>
      <w:tr>
        <w:tc>
          <w:tcPr>
            <w:tcW w:type="dxa" w:w="3230"/>
            <w:shd w:val="clear" w:color="auto" w:fill="F2F7FC"/>
          </w:tcPr>
          <w:p>
            <w:r>
              <w:rPr>
                <w:rFonts w:ascii="Calibri" w:hAnsi="Calibri"/>
                <w:sz w:val="20"/>
              </w:rPr>
              <w:t>Восстановление</w:t>
            </w:r>
          </w:p>
        </w:tc>
        <w:tc>
          <w:tcPr>
            <w:tcW w:type="dxa" w:w="3230"/>
            <w:shd w:val="clear" w:color="auto" w:fill="F2F7FC"/>
          </w:tcPr>
          <w:p>
            <w:r>
              <w:rPr>
                <w:rFonts w:ascii="Calibri" w:hAnsi="Calibri"/>
                <w:color w:val="C00000"/>
                <w:sz w:val="20"/>
              </w:rPr>
              <w:t>Забыли пароль?</w:t>
            </w:r>
          </w:p>
        </w:tc>
        <w:tc>
          <w:tcPr>
            <w:tcW w:type="dxa" w:w="3230"/>
            <w:shd w:val="clear" w:color="auto" w:fill="F2F7FC"/>
          </w:tcPr>
          <w:p>
            <w:r>
              <w:rPr>
                <w:rFonts w:ascii="Calibri" w:hAnsi="Calibri"/>
                <w:color w:val="007000"/>
                <w:sz w:val="20"/>
              </w:rPr>
              <w:t>Forgot password?</w:t>
            </w:r>
          </w:p>
        </w:tc>
      </w:tr>
      <w:tr>
        <w:tc>
          <w:tcPr>
            <w:tcW w:type="dxa" w:w="323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Чекбокс</w:t>
            </w:r>
          </w:p>
        </w:tc>
        <w:tc>
          <w:tcPr>
            <w:tcW w:type="dxa" w:w="3230"/>
            <w:shd w:val="clear" w:color="auto" w:fill="FFFFFF"/>
          </w:tcPr>
          <w:p>
            <w:r>
              <w:rPr>
                <w:rFonts w:ascii="Calibri" w:hAnsi="Calibri"/>
                <w:color w:val="C00000"/>
                <w:sz w:val="20"/>
              </w:rPr>
              <w:t>Запомнить меня</w:t>
            </w:r>
          </w:p>
        </w:tc>
        <w:tc>
          <w:tcPr>
            <w:tcW w:type="dxa" w:w="3230"/>
            <w:shd w:val="clear" w:color="auto" w:fill="FFFFFF"/>
          </w:tcPr>
          <w:p>
            <w:r>
              <w:rPr>
                <w:rFonts w:ascii="Calibri" w:hAnsi="Calibri"/>
                <w:color w:val="007000"/>
                <w:sz w:val="20"/>
              </w:rPr>
              <w:t>Remember me</w:t>
            </w:r>
          </w:p>
        </w:tc>
      </w:tr>
      <w:tr>
        <w:tc>
          <w:tcPr>
            <w:tcW w:type="dxa" w:w="3230"/>
            <w:shd w:val="clear" w:color="auto" w:fill="F2F7FC"/>
          </w:tcPr>
          <w:p>
            <w:r>
              <w:rPr>
                <w:rFonts w:ascii="Calibri" w:hAnsi="Calibri"/>
                <w:sz w:val="20"/>
              </w:rPr>
              <w:t>Валидация</w:t>
            </w:r>
          </w:p>
        </w:tc>
        <w:tc>
          <w:tcPr>
            <w:tcW w:type="dxa" w:w="3230"/>
            <w:shd w:val="clear" w:color="auto" w:fill="F2F7FC"/>
          </w:tcPr>
          <w:p>
            <w:r>
              <w:rPr>
                <w:rFonts w:ascii="Calibri" w:hAnsi="Calibri"/>
                <w:color w:val="C00000"/>
                <w:sz w:val="20"/>
              </w:rPr>
              <w:t>Все поля обязательны для заполнения</w:t>
            </w:r>
          </w:p>
        </w:tc>
        <w:tc>
          <w:tcPr>
            <w:tcW w:type="dxa" w:w="3230"/>
            <w:shd w:val="clear" w:color="auto" w:fill="F2F7FC"/>
          </w:tcPr>
          <w:p>
            <w:r>
              <w:rPr>
                <w:rFonts w:ascii="Calibri" w:hAnsi="Calibri"/>
                <w:color w:val="007000"/>
                <w:sz w:val="20"/>
              </w:rPr>
              <w:t>All fields are required</w:t>
            </w:r>
          </w:p>
        </w:tc>
      </w:tr>
      <w:tr>
        <w:tc>
          <w:tcPr>
            <w:tcW w:type="dxa" w:w="323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Соцсети-вход</w:t>
            </w:r>
          </w:p>
        </w:tc>
        <w:tc>
          <w:tcPr>
            <w:tcW w:type="dxa" w:w="3230"/>
            <w:shd w:val="clear" w:color="auto" w:fill="FFFFFF"/>
          </w:tcPr>
          <w:p>
            <w:r>
              <w:rPr>
                <w:rFonts w:ascii="Calibri" w:hAnsi="Calibri"/>
                <w:color w:val="C00000"/>
                <w:sz w:val="20"/>
              </w:rPr>
              <w:t>Войти с помощью:</w:t>
            </w:r>
          </w:p>
        </w:tc>
        <w:tc>
          <w:tcPr>
            <w:tcW w:type="dxa" w:w="3230"/>
            <w:shd w:val="clear" w:color="auto" w:fill="FFFFFF"/>
          </w:tcPr>
          <w:p>
            <w:r>
              <w:rPr>
                <w:rFonts w:ascii="Calibri" w:hAnsi="Calibri"/>
                <w:color w:val="007000"/>
                <w:sz w:val="20"/>
              </w:rPr>
              <w:t>Sign in with:</w:t>
            </w:r>
          </w:p>
        </w:tc>
      </w:tr>
      <w:tr>
        <w:tc>
          <w:tcPr>
            <w:tcW w:type="dxa" w:w="3230"/>
            <w:shd w:val="clear" w:color="auto" w:fill="F2F7FC"/>
          </w:tcPr>
          <w:p>
            <w:r>
              <w:rPr>
                <w:rFonts w:ascii="Calibri" w:hAnsi="Calibri"/>
                <w:sz w:val="20"/>
              </w:rPr>
              <w:t>Защита данных</w:t>
            </w:r>
          </w:p>
        </w:tc>
        <w:tc>
          <w:tcPr>
            <w:tcW w:type="dxa" w:w="3230"/>
            <w:shd w:val="clear" w:color="auto" w:fill="F2F7FC"/>
          </w:tcPr>
          <w:p>
            <w:r>
              <w:rPr>
                <w:rFonts w:ascii="Calibri" w:hAnsi="Calibri"/>
                <w:color w:val="C00000"/>
                <w:sz w:val="20"/>
              </w:rPr>
              <w:t>Все данные наших клиентов надежно защищены!</w:t>
            </w:r>
          </w:p>
        </w:tc>
        <w:tc>
          <w:tcPr>
            <w:tcW w:type="dxa" w:w="3230"/>
            <w:shd w:val="clear" w:color="auto" w:fill="F2F7FC"/>
          </w:tcPr>
          <w:p>
            <w:r>
              <w:rPr>
                <w:rFonts w:ascii="Calibri" w:hAnsi="Calibri"/>
                <w:color w:val="007000"/>
                <w:sz w:val="20"/>
              </w:rPr>
              <w:t>All client data is securely protected!</w:t>
            </w:r>
          </w:p>
        </w:tc>
      </w:tr>
      <w:tr>
        <w:tc>
          <w:tcPr>
            <w:tcW w:type="dxa" w:w="323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Согласие</w:t>
            </w:r>
          </w:p>
        </w:tc>
        <w:tc>
          <w:tcPr>
            <w:tcW w:type="dxa" w:w="3230"/>
            <w:shd w:val="clear" w:color="auto" w:fill="FFFFFF"/>
          </w:tcPr>
          <w:p>
            <w:r>
              <w:rPr>
                <w:rFonts w:ascii="Calibri" w:hAnsi="Calibri"/>
                <w:color w:val="C00000"/>
                <w:sz w:val="20"/>
              </w:rPr>
              <w:t>Согласен с условиями обработки...</w:t>
            </w:r>
          </w:p>
        </w:tc>
        <w:tc>
          <w:tcPr>
            <w:tcW w:type="dxa" w:w="3230"/>
            <w:shd w:val="clear" w:color="auto" w:fill="FFFFFF"/>
          </w:tcPr>
          <w:p>
            <w:r>
              <w:rPr>
                <w:rFonts w:ascii="Calibri" w:hAnsi="Calibri"/>
                <w:color w:val="007000"/>
                <w:sz w:val="20"/>
              </w:rPr>
              <w:t>I agree to data processing terms</w:t>
            </w:r>
          </w:p>
        </w:tc>
      </w:tr>
      <w:tr>
        <w:tc>
          <w:tcPr>
            <w:tcW w:type="dxa" w:w="3230"/>
            <w:shd w:val="clear" w:color="auto" w:fill="F2F7FC"/>
          </w:tcPr>
          <w:p>
            <w:r>
              <w:rPr>
                <w:rFonts w:ascii="Calibri" w:hAnsi="Calibri"/>
                <w:sz w:val="20"/>
              </w:rPr>
              <w:t>Формы в футере</w:t>
            </w:r>
          </w:p>
        </w:tc>
        <w:tc>
          <w:tcPr>
            <w:tcW w:type="dxa" w:w="3230"/>
            <w:shd w:val="clear" w:color="auto" w:fill="F2F7FC"/>
          </w:tcPr>
          <w:p>
            <w:r>
              <w:rPr>
                <w:rFonts w:ascii="Calibri" w:hAnsi="Calibri"/>
                <w:color w:val="C00000"/>
                <w:sz w:val="20"/>
              </w:rPr>
              <w:t>Обратный звонок / Обратная связь / Регистрация</w:t>
            </w:r>
          </w:p>
        </w:tc>
        <w:tc>
          <w:tcPr>
            <w:tcW w:type="dxa" w:w="3230"/>
            <w:shd w:val="clear" w:color="auto" w:fill="F2F7FC"/>
          </w:tcPr>
          <w:p>
            <w:r>
              <w:rPr>
                <w:rFonts w:ascii="Calibri" w:hAnsi="Calibri"/>
                <w:color w:val="007000"/>
                <w:sz w:val="20"/>
              </w:rPr>
              <w:t>Callback / Feedback / Register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1F497D"/>
          <w:sz w:val="32"/>
        </w:rPr>
        <w:t>3. НАВИГАЦИЯ</w:t>
      </w:r>
    </w:p>
    <w:p>
      <w:pPr>
        <w:spacing w:before="200" w:after="80"/>
      </w:pPr>
      <w:r>
        <w:rPr>
          <w:rFonts w:ascii="Calibri" w:hAnsi="Calibri"/>
          <w:b/>
          <w:color w:val="00467F"/>
          <w:sz w:val="26"/>
        </w:rPr>
        <w:t>3.1. Ссылки меню нерабочие</w:t>
      </w:r>
    </w:p>
    <w:p>
      <w:pPr>
        <w:spacing w:after="60"/>
      </w:pPr>
      <w:r>
        <w:rPr>
          <w:rFonts w:ascii="Calibri" w:hAnsi="Calibri"/>
          <w:sz w:val="22"/>
        </w:rPr>
        <w:t>Все пункты навигационного меню ведут на страницы 404. Переключение языков (RU ↔ EN) настроено некорректно — пользователь не попадает на соответствующую страницу в другой языковой версии.</w:t>
      </w:r>
    </w:p>
    <w:p>
      <w:pPr>
        <w:spacing w:before="200" w:after="80"/>
      </w:pPr>
      <w:r>
        <w:rPr>
          <w:rFonts w:ascii="Calibri" w:hAnsi="Calibri"/>
          <w:b/>
          <w:color w:val="00467F"/>
          <w:sz w:val="26"/>
        </w:rPr>
        <w:t>3.2. Спорные переводы пунктов меню</w:t>
      </w:r>
    </w:p>
    <w:p>
      <w:pPr>
        <w:spacing w:after="60"/>
      </w:pPr>
      <w:r>
        <w:rPr>
          <w:rFonts w:ascii="Calibri" w:hAnsi="Calibri"/>
          <w:sz w:val="22"/>
        </w:rPr>
        <w:t>«Примеры проектов» → «Project examples» — лучше использовать «Case Studies» или «Project Portfolio» (стандартные термины в B2B на международном рынке).</w:t>
        <w:br/>
        <w:t>«Риск-сессия» → «Risk session» — корректно, но точнее «Risk Assessment Session».</w:t>
        <w:br/>
        <w:t>«Сервисы» → «Services» — OK.</w:t>
        <w:br/>
        <w:t>«Медиацентр» → «Media Center» — OK.</w:t>
      </w:r>
    </w:p>
    <w:p>
      <w:pPr>
        <w:spacing w:before="200" w:after="80"/>
      </w:pPr>
      <w:r>
        <w:rPr>
          <w:rFonts w:ascii="Calibri" w:hAnsi="Calibri"/>
          <w:b/>
          <w:color w:val="00467F"/>
          <w:sz w:val="26"/>
        </w:rPr>
        <w:t>3.3. Два адреса в RU, один в EN</w:t>
      </w:r>
    </w:p>
    <w:p>
      <w:pPr>
        <w:spacing w:after="60"/>
      </w:pPr>
      <w:r>
        <w:rPr>
          <w:rFonts w:ascii="Calibri" w:hAnsi="Calibri"/>
          <w:sz w:val="22"/>
        </w:rPr>
        <w:t>Русская версия указывает два московских офиса (Новослободская и Каланчевская), английская — только один. Несоответствие может вводить в заблуждение.</w:t>
      </w:r>
    </w:p>
    <w:p>
      <w:pPr>
        <w:spacing w:before="280" w:after="80"/>
      </w:pPr>
      <w:r>
        <w:rPr>
          <w:rFonts w:ascii="Calibri" w:hAnsi="Calibri"/>
          <w:b/>
          <w:color w:val="1F497D"/>
          <w:sz w:val="32"/>
        </w:rPr>
        <w:t>4. ТЕРМИНОЛОГИЯ И ПОЗИЦИОНИРОВАНИЕ</w:t>
      </w:r>
    </w:p>
    <w:p>
      <w:pPr>
        <w:spacing w:before="200" w:after="80"/>
      </w:pPr>
      <w:r>
        <w:rPr>
          <w:rFonts w:ascii="Calibri" w:hAnsi="Calibri"/>
          <w:b/>
          <w:color w:val="00467F"/>
          <w:sz w:val="26"/>
        </w:rPr>
        <w:t>4.1. РМС / EPC не расшифрованы</w:t>
      </w:r>
    </w:p>
    <w:p>
      <w:pPr>
        <w:spacing w:after="60"/>
      </w:pPr>
      <w:r>
        <w:rPr>
          <w:rFonts w:ascii="Calibri" w:hAnsi="Calibri"/>
          <w:sz w:val="22"/>
        </w:rPr>
        <w:t>В логотипе используется «РМС | EPC» без объяснения для иностранной аудитории. На русском сайте контекст раскрывается в разделе «О компании», который в английской версии отсутствует. Аббревиатуры PMC (Project Management Contractor) и EPC (Engineering, Procurement &amp; Construction) необходимо объяснить.</w:t>
      </w:r>
    </w:p>
    <w:p>
      <w:pPr>
        <w:spacing w:before="200" w:after="80"/>
      </w:pPr>
      <w:r>
        <w:rPr>
          <w:rFonts w:ascii="Calibri" w:hAnsi="Calibri"/>
          <w:b/>
          <w:color w:val="00467F"/>
          <w:sz w:val="26"/>
        </w:rPr>
        <w:t>4.2. Сертификат PME без расшифровки</w:t>
      </w:r>
    </w:p>
    <w:p>
      <w:pPr>
        <w:spacing w:after="60"/>
      </w:pPr>
      <w:r>
        <w:rPr>
          <w:rFonts w:ascii="Calibri" w:hAnsi="Calibri"/>
          <w:sz w:val="22"/>
        </w:rPr>
        <w:t>«PME» — внутренняя сертификация PM Excellence. Для иностранного читателя это непонятная аббревиатура. Необходима сноска или расшифровка при первом упоминании.</w:t>
      </w:r>
    </w:p>
    <w:p>
      <w:pPr>
        <w:spacing w:before="200" w:after="80"/>
      </w:pPr>
      <w:r>
        <w:rPr>
          <w:rFonts w:ascii="Calibri" w:hAnsi="Calibri"/>
          <w:b/>
          <w:color w:val="00467F"/>
          <w:sz w:val="26"/>
        </w:rPr>
        <w:t>4.3. «PIMS LLC» в футере</w:t>
      </w:r>
    </w:p>
    <w:p>
      <w:pPr>
        <w:spacing w:after="60"/>
      </w:pPr>
      <w:r>
        <w:rPr>
          <w:rFonts w:ascii="Calibri" w:hAnsi="Calibri"/>
          <w:sz w:val="22"/>
        </w:rPr>
        <w:t>«ООО ПИЭМСИ» переведено как «PIMS LLC» — аббревиатура нечитаема и непонятна. Рекомендуется «PM Excellence LLC» или «PMExcellence LLC».</w:t>
      </w:r>
    </w:p>
    <w:p>
      <w:pPr>
        <w:spacing w:before="200" w:after="80"/>
      </w:pPr>
      <w:r>
        <w:rPr>
          <w:rFonts w:ascii="Calibri" w:hAnsi="Calibri"/>
          <w:b/>
          <w:color w:val="00467F"/>
          <w:sz w:val="26"/>
        </w:rPr>
        <w:t>4.4. Слоган</w:t>
      </w:r>
    </w:p>
    <w:p>
      <w:pPr>
        <w:spacing w:after="60"/>
      </w:pPr>
      <w:r>
        <w:rPr>
          <w:rFonts w:ascii="Calibri" w:hAnsi="Calibri"/>
          <w:sz w:val="22"/>
        </w:rPr>
        <w:t>Текущий: «Professional Management of Large and Megaprojects».</w:t>
        <w:br/>
        <w:t>Слово «megaprojects» не является стандартным термином в англоязычном B2B. Альтернатива: «Professional Management of Large-Scale and Complex Projects» или «Expert PMC Services for Major Projects».</w:t>
      </w:r>
    </w:p>
    <w:p>
      <w:pPr>
        <w:spacing w:before="280" w:after="80"/>
      </w:pPr>
      <w:r>
        <w:rPr>
          <w:rFonts w:ascii="Calibri" w:hAnsi="Calibri"/>
          <w:b/>
          <w:color w:val="1F497D"/>
          <w:sz w:val="32"/>
        </w:rPr>
        <w:t>5. КОНТЕНТ, ОТСУТСТВУЮЩИЙ В АНГЛИЙСКОЙ ВЕРСИИ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Раздел</w:t>
            </w:r>
          </w:p>
        </w:tc>
        <w:tc>
          <w:tcPr>
            <w:tcW w:type="dxa" w:w="3230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Русская версия</w:t>
            </w:r>
          </w:p>
        </w:tc>
        <w:tc>
          <w:tcPr>
            <w:tcW w:type="dxa" w:w="3230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Английская версия</w:t>
            </w:r>
          </w:p>
        </w:tc>
      </w:tr>
      <w:tr>
        <w:tc>
          <w:tcPr>
            <w:tcW w:type="dxa" w:w="3230"/>
            <w:shd w:val="clear" w:color="auto" w:fill="F2F7FC"/>
          </w:tcPr>
          <w:p>
            <w:r>
              <w:rPr>
                <w:rFonts w:ascii="Calibri" w:hAnsi="Calibri"/>
                <w:sz w:val="20"/>
              </w:rPr>
              <w:t>О компании</w:t>
            </w:r>
          </w:p>
        </w:tc>
        <w:tc>
          <w:tcPr>
            <w:tcW w:type="dxa" w:w="3230"/>
            <w:shd w:val="clear" w:color="auto" w:fill="F2F7FC"/>
          </w:tcPr>
          <w:p>
            <w:r>
              <w:rPr>
                <w:rFonts w:ascii="Calibri" w:hAnsi="Calibri"/>
                <w:sz w:val="20"/>
              </w:rPr>
              <w:t>✅ PMC-модель, миссия, ценности</w:t>
            </w:r>
          </w:p>
        </w:tc>
        <w:tc>
          <w:tcPr>
            <w:tcW w:type="dxa" w:w="3230"/>
            <w:shd w:val="clear" w:color="auto" w:fill="F2F7FC"/>
          </w:tcPr>
          <w:p>
            <w:r>
              <w:rPr>
                <w:rFonts w:ascii="Calibri" w:hAnsi="Calibri"/>
                <w:color w:val="C00000"/>
                <w:sz w:val="20"/>
              </w:rPr>
              <w:t>❌ Страница не существует</w:t>
            </w:r>
          </w:p>
        </w:tc>
      </w:tr>
      <w:tr>
        <w:tc>
          <w:tcPr>
            <w:tcW w:type="dxa" w:w="323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Команда</w:t>
            </w:r>
          </w:p>
        </w:tc>
        <w:tc>
          <w:tcPr>
            <w:tcW w:type="dxa" w:w="323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✅ 11 человек, должности, сертификации</w:t>
            </w:r>
          </w:p>
        </w:tc>
        <w:tc>
          <w:tcPr>
            <w:tcW w:type="dxa" w:w="3230"/>
            <w:shd w:val="clear" w:color="auto" w:fill="FFFFFF"/>
          </w:tcPr>
          <w:p>
            <w:r>
              <w:rPr>
                <w:rFonts w:ascii="Calibri" w:hAnsi="Calibri"/>
                <w:color w:val="C00000"/>
                <w:sz w:val="20"/>
              </w:rPr>
              <w:t>❌ Страница не существует</w:t>
            </w:r>
          </w:p>
        </w:tc>
      </w:tr>
      <w:tr>
        <w:tc>
          <w:tcPr>
            <w:tcW w:type="dxa" w:w="3230"/>
            <w:shd w:val="clear" w:color="auto" w:fill="F2F7FC"/>
          </w:tcPr>
          <w:p>
            <w:r>
              <w:rPr>
                <w:rFonts w:ascii="Calibri" w:hAnsi="Calibri"/>
                <w:sz w:val="20"/>
              </w:rPr>
              <w:t>Сервисы</w:t>
            </w:r>
          </w:p>
        </w:tc>
        <w:tc>
          <w:tcPr>
            <w:tcW w:type="dxa" w:w="3230"/>
            <w:shd w:val="clear" w:color="auto" w:fill="F2F7FC"/>
          </w:tcPr>
          <w:p>
            <w:r>
              <w:rPr>
                <w:rFonts w:ascii="Calibri" w:hAnsi="Calibri"/>
                <w:sz w:val="20"/>
              </w:rPr>
              <w:t>✅ Полное описание услуг</w:t>
            </w:r>
          </w:p>
        </w:tc>
        <w:tc>
          <w:tcPr>
            <w:tcW w:type="dxa" w:w="3230"/>
            <w:shd w:val="clear" w:color="auto" w:fill="F2F7FC"/>
          </w:tcPr>
          <w:p>
            <w:r>
              <w:rPr>
                <w:rFonts w:ascii="Calibri" w:hAnsi="Calibri"/>
                <w:color w:val="C00000"/>
                <w:sz w:val="20"/>
              </w:rPr>
              <w:t>❌ 404</w:t>
            </w:r>
          </w:p>
        </w:tc>
      </w:tr>
      <w:tr>
        <w:tc>
          <w:tcPr>
            <w:tcW w:type="dxa" w:w="323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Примеры проектов</w:t>
            </w:r>
          </w:p>
        </w:tc>
        <w:tc>
          <w:tcPr>
            <w:tcW w:type="dxa" w:w="323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✅ Газпром, Роснефть, Сахалинская энергия и др.</w:t>
            </w:r>
          </w:p>
        </w:tc>
        <w:tc>
          <w:tcPr>
            <w:tcW w:type="dxa" w:w="3230"/>
            <w:shd w:val="clear" w:color="auto" w:fill="FFFFFF"/>
          </w:tcPr>
          <w:p>
            <w:r>
              <w:rPr>
                <w:rFonts w:ascii="Calibri" w:hAnsi="Calibri"/>
                <w:color w:val="C00000"/>
                <w:sz w:val="20"/>
              </w:rPr>
              <w:t>❌ Страница не существует</w:t>
            </w:r>
          </w:p>
        </w:tc>
      </w:tr>
      <w:tr>
        <w:tc>
          <w:tcPr>
            <w:tcW w:type="dxa" w:w="3230"/>
            <w:shd w:val="clear" w:color="auto" w:fill="F2F7FC"/>
          </w:tcPr>
          <w:p>
            <w:r>
              <w:rPr>
                <w:rFonts w:ascii="Calibri" w:hAnsi="Calibri"/>
                <w:sz w:val="20"/>
              </w:rPr>
              <w:t>Новости</w:t>
            </w:r>
          </w:p>
        </w:tc>
        <w:tc>
          <w:tcPr>
            <w:tcW w:type="dxa" w:w="3230"/>
            <w:shd w:val="clear" w:color="auto" w:fill="F2F7FC"/>
          </w:tcPr>
          <w:p>
            <w:r>
              <w:rPr>
                <w:rFonts w:ascii="Calibri" w:hAnsi="Calibri"/>
                <w:sz w:val="20"/>
              </w:rPr>
              <w:t>✅ Актуальные (май 2026)</w:t>
            </w:r>
          </w:p>
        </w:tc>
        <w:tc>
          <w:tcPr>
            <w:tcW w:type="dxa" w:w="3230"/>
            <w:shd w:val="clear" w:color="auto" w:fill="F2F7FC"/>
          </w:tcPr>
          <w:p>
            <w:r>
              <w:rPr>
                <w:rFonts w:ascii="Calibri" w:hAnsi="Calibri"/>
                <w:color w:val="C00000"/>
                <w:sz w:val="20"/>
              </w:rPr>
              <w:t>❌ Не переведены</w:t>
            </w:r>
          </w:p>
        </w:tc>
      </w:tr>
      <w:tr>
        <w:tc>
          <w:tcPr>
            <w:tcW w:type="dxa" w:w="323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Статьи</w:t>
            </w:r>
          </w:p>
        </w:tc>
        <w:tc>
          <w:tcPr>
            <w:tcW w:type="dxa" w:w="323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✅ Экспертные материалы</w:t>
            </w:r>
          </w:p>
        </w:tc>
        <w:tc>
          <w:tcPr>
            <w:tcW w:type="dxa" w:w="3230"/>
            <w:shd w:val="clear" w:color="auto" w:fill="FFFFFF"/>
          </w:tcPr>
          <w:p>
            <w:r>
              <w:rPr>
                <w:rFonts w:ascii="Calibri" w:hAnsi="Calibri"/>
                <w:color w:val="C00000"/>
                <w:sz w:val="20"/>
              </w:rPr>
              <w:t>❌ Не переведены</w:t>
            </w:r>
          </w:p>
        </w:tc>
      </w:tr>
      <w:tr>
        <w:tc>
          <w:tcPr>
            <w:tcW w:type="dxa" w:w="3230"/>
            <w:shd w:val="clear" w:color="auto" w:fill="F2F7FC"/>
          </w:tcPr>
          <w:p>
            <w:r>
              <w:rPr>
                <w:rFonts w:ascii="Calibri" w:hAnsi="Calibri"/>
                <w:sz w:val="20"/>
              </w:rPr>
              <w:t>Цитаты команды</w:t>
            </w:r>
          </w:p>
        </w:tc>
        <w:tc>
          <w:tcPr>
            <w:tcW w:type="dxa" w:w="3230"/>
            <w:shd w:val="clear" w:color="auto" w:fill="F2F7FC"/>
          </w:tcPr>
          <w:p>
            <w:r>
              <w:rPr>
                <w:rFonts w:ascii="Calibri" w:hAnsi="Calibri"/>
                <w:sz w:val="20"/>
              </w:rPr>
              <w:t>✅ 9 цитат на главной странице</w:t>
            </w:r>
          </w:p>
        </w:tc>
        <w:tc>
          <w:tcPr>
            <w:tcW w:type="dxa" w:w="3230"/>
            <w:shd w:val="clear" w:color="auto" w:fill="F2F7FC"/>
          </w:tcPr>
          <w:p>
            <w:r>
              <w:rPr>
                <w:rFonts w:ascii="Calibri" w:hAnsi="Calibri"/>
                <w:color w:val="C55A11"/>
                <w:sz w:val="20"/>
              </w:rPr>
              <w:t>⚠️ Переведены только на главной</w:t>
            </w:r>
          </w:p>
        </w:tc>
      </w:tr>
      <w:tr>
        <w:tc>
          <w:tcPr>
            <w:tcW w:type="dxa" w:w="323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Вебинары / События</w:t>
            </w:r>
          </w:p>
        </w:tc>
        <w:tc>
          <w:tcPr>
            <w:tcW w:type="dxa" w:w="323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✅ Анонсы и записи</w:t>
            </w:r>
          </w:p>
        </w:tc>
        <w:tc>
          <w:tcPr>
            <w:tcW w:type="dxa" w:w="3230"/>
            <w:shd w:val="clear" w:color="auto" w:fill="FFFFFF"/>
          </w:tcPr>
          <w:p>
            <w:r>
              <w:rPr>
                <w:rFonts w:ascii="Calibri" w:hAnsi="Calibri"/>
                <w:color w:val="C00000"/>
                <w:sz w:val="20"/>
              </w:rPr>
              <w:t>❌ Нет контента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1F497D"/>
          <w:sz w:val="32"/>
        </w:rPr>
        <w:t>6. НЕРЕЛЕВАНТНЫЕ ЭЛЕМЕНТЫ ДЛЯ МЕЖДУНАРОДНОЙ АУДИТОРИИ</w:t>
      </w:r>
    </w:p>
    <w:p>
      <w:pPr>
        <w:spacing w:after="60"/>
        <w:ind w:left="397"/>
      </w:pPr>
      <w:r>
        <w:rPr>
          <w:rFonts w:ascii="Calibri" w:hAnsi="Calibri"/>
          <w:color w:val="1F497D"/>
          <w:sz w:val="22"/>
        </w:rPr>
        <w:t xml:space="preserve">• </w:t>
      </w:r>
      <w:r>
        <w:rPr>
          <w:rFonts w:ascii="Calibri" w:hAnsi="Calibri"/>
          <w:sz w:val="22"/>
        </w:rPr>
        <w:t>VC.ru в социальных ссылках — российская платформа, нерелевантна для зарубежных пользователей.</w:t>
      </w:r>
    </w:p>
    <w:p>
      <w:pPr>
        <w:spacing w:after="60"/>
        <w:ind w:left="397"/>
      </w:pPr>
      <w:r>
        <w:rPr>
          <w:rFonts w:ascii="Calibri" w:hAnsi="Calibri"/>
          <w:color w:val="1F497D"/>
          <w:sz w:val="22"/>
        </w:rPr>
        <w:t xml:space="preserve">• </w:t>
      </w:r>
      <w:r>
        <w:rPr>
          <w:rFonts w:ascii="Calibri" w:hAnsi="Calibri"/>
          <w:sz w:val="22"/>
        </w:rPr>
        <w:t>Max.ru — аналогично, российская соцсеть.</w:t>
      </w:r>
    </w:p>
    <w:p>
      <w:pPr>
        <w:spacing w:after="60"/>
        <w:ind w:left="397"/>
      </w:pPr>
      <w:r>
        <w:rPr>
          <w:rFonts w:ascii="Calibri" w:hAnsi="Calibri"/>
          <w:color w:val="1F497D"/>
          <w:sz w:val="22"/>
        </w:rPr>
        <w:t xml:space="preserve">• </w:t>
      </w:r>
      <w:r>
        <w:rPr>
          <w:rFonts w:ascii="Calibri" w:hAnsi="Calibri"/>
          <w:sz w:val="22"/>
        </w:rPr>
        <w:t>OpenID-провайдеры для входа (LiveJournal, Mail.ru, Liveinternet, Blogger) — устаревшие и/или сугубо российские платформы. Необходимо заменить на Google, LinkedIn, Microsoft.</w:t>
      </w:r>
    </w:p>
    <w:p>
      <w:pPr>
        <w:spacing w:after="60"/>
        <w:ind w:left="397"/>
      </w:pPr>
      <w:r>
        <w:rPr>
          <w:rFonts w:ascii="Calibri" w:hAnsi="Calibri"/>
          <w:color w:val="1F497D"/>
          <w:sz w:val="22"/>
        </w:rPr>
        <w:t xml:space="preserve">• </w:t>
      </w:r>
      <w:r>
        <w:rPr>
          <w:rFonts w:ascii="Calibri" w:hAnsi="Calibri"/>
          <w:sz w:val="22"/>
        </w:rPr>
        <w:t>Рекомендация: добавить LinkedIn как основной канал для B2B-аудитории.</w:t>
      </w:r>
    </w:p>
    <w:p>
      <w:pPr>
        <w:spacing w:before="280" w:after="80"/>
      </w:pPr>
      <w:r>
        <w:rPr>
          <w:rFonts w:ascii="Calibri" w:hAnsi="Calibri"/>
          <w:b/>
          <w:color w:val="1F497D"/>
          <w:sz w:val="32"/>
        </w:rPr>
        <w:t>7. ПРИОРИТИЗИРОВАННЫЙ ПЛАН ИСПРАВЛЕНИЙ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Приоритет</w:t>
            </w:r>
          </w:p>
        </w:tc>
        <w:tc>
          <w:tcPr>
            <w:tcW w:type="dxa" w:w="3230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Задача</w:t>
            </w:r>
          </w:p>
        </w:tc>
        <w:tc>
          <w:tcPr>
            <w:tcW w:type="dxa" w:w="3230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Комментарий</w:t>
            </w:r>
          </w:p>
        </w:tc>
      </w:tr>
      <w:tr>
        <w:tc>
          <w:tcPr>
            <w:tcW w:type="dxa" w:w="3230"/>
            <w:shd w:val="clear" w:color="auto" w:fill="F2F7FC"/>
          </w:tcPr>
          <w:p>
            <w:r>
              <w:rPr>
                <w:rFonts w:ascii="Calibri" w:hAnsi="Calibri"/>
                <w:sz w:val="20"/>
              </w:rPr>
              <w:t>🔴 КРИТИЧНО</w:t>
            </w:r>
          </w:p>
        </w:tc>
        <w:tc>
          <w:tcPr>
            <w:tcW w:type="dxa" w:w="3230"/>
            <w:shd w:val="clear" w:color="auto" w:fill="F2F7FC"/>
          </w:tcPr>
          <w:p>
            <w:r>
              <w:rPr>
                <w:rFonts w:ascii="Calibri" w:hAnsi="Calibri"/>
                <w:sz w:val="20"/>
              </w:rPr>
              <w:t>Создать и наполнить страницы /eng/about/, /eng/services/, /eng/team/, /eng/projects/</w:t>
            </w:r>
          </w:p>
        </w:tc>
        <w:tc>
          <w:tcPr>
            <w:tcW w:type="dxa" w:w="3230"/>
            <w:shd w:val="clear" w:color="auto" w:fill="F2F7FC"/>
          </w:tcPr>
          <w:p>
            <w:r>
              <w:rPr>
                <w:rFonts w:ascii="Calibri" w:hAnsi="Calibri"/>
                <w:sz w:val="20"/>
              </w:rPr>
              <w:t>Сайт не работает без этих страниц</w:t>
            </w:r>
          </w:p>
        </w:tc>
      </w:tr>
      <w:tr>
        <w:tc>
          <w:tcPr>
            <w:tcW w:type="dxa" w:w="323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🔴 КРИТИЧНО</w:t>
            </w:r>
          </w:p>
        </w:tc>
        <w:tc>
          <w:tcPr>
            <w:tcW w:type="dxa" w:w="323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Перевести форму входа и все UI-элементы интерфейса</w:t>
            </w:r>
          </w:p>
        </w:tc>
        <w:tc>
          <w:tcPr>
            <w:tcW w:type="dxa" w:w="323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Смешанный язык — грубая ошибка</w:t>
            </w:r>
          </w:p>
        </w:tc>
      </w:tr>
      <w:tr>
        <w:tc>
          <w:tcPr>
            <w:tcW w:type="dxa" w:w="3230"/>
            <w:shd w:val="clear" w:color="auto" w:fill="F2F7FC"/>
          </w:tcPr>
          <w:p>
            <w:r>
              <w:rPr>
                <w:rFonts w:ascii="Calibri" w:hAnsi="Calibri"/>
                <w:sz w:val="20"/>
              </w:rPr>
              <w:t>🔴 КРИТИЧНО</w:t>
            </w:r>
          </w:p>
        </w:tc>
        <w:tc>
          <w:tcPr>
            <w:tcW w:type="dxa" w:w="3230"/>
            <w:shd w:val="clear" w:color="auto" w:fill="F2F7FC"/>
          </w:tcPr>
          <w:p>
            <w:r>
              <w:rPr>
                <w:rFonts w:ascii="Calibri" w:hAnsi="Calibri"/>
                <w:sz w:val="20"/>
              </w:rPr>
              <w:t>Починить все ссылки навигации (текущие — 404)</w:t>
            </w:r>
          </w:p>
        </w:tc>
        <w:tc>
          <w:tcPr>
            <w:tcW w:type="dxa" w:w="3230"/>
            <w:shd w:val="clear" w:color="auto" w:fill="F2F7FC"/>
          </w:tcPr>
          <w:p>
            <w:r>
              <w:rPr>
                <w:rFonts w:ascii="Calibri" w:hAnsi="Calibri"/>
                <w:sz w:val="20"/>
              </w:rPr>
              <w:t>Меню нефункционально</w:t>
            </w:r>
          </w:p>
        </w:tc>
      </w:tr>
      <w:tr>
        <w:tc>
          <w:tcPr>
            <w:tcW w:type="dxa" w:w="323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🟡 ВАЖНО</w:t>
            </w:r>
          </w:p>
        </w:tc>
        <w:tc>
          <w:tcPr>
            <w:tcW w:type="dxa" w:w="323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Добавить объяснение PMC/РМС-модели для международной аудитории</w:t>
            </w:r>
          </w:p>
        </w:tc>
        <w:tc>
          <w:tcPr>
            <w:tcW w:type="dxa" w:w="323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Ключевая ценность компании</w:t>
            </w:r>
          </w:p>
        </w:tc>
      </w:tr>
      <w:tr>
        <w:tc>
          <w:tcPr>
            <w:tcW w:type="dxa" w:w="3230"/>
            <w:shd w:val="clear" w:color="auto" w:fill="F2F7FC"/>
          </w:tcPr>
          <w:p>
            <w:r>
              <w:rPr>
                <w:rFonts w:ascii="Calibri" w:hAnsi="Calibri"/>
                <w:sz w:val="20"/>
              </w:rPr>
              <w:t>🟡 ВАЖНО</w:t>
            </w:r>
          </w:p>
        </w:tc>
        <w:tc>
          <w:tcPr>
            <w:tcW w:type="dxa" w:w="3230"/>
            <w:shd w:val="clear" w:color="auto" w:fill="F2F7FC"/>
          </w:tcPr>
          <w:p>
            <w:r>
              <w:rPr>
                <w:rFonts w:ascii="Calibri" w:hAnsi="Calibri"/>
                <w:sz w:val="20"/>
              </w:rPr>
              <w:t>Убрать VC.ru и Max.ru, добавить LinkedIn</w:t>
            </w:r>
          </w:p>
        </w:tc>
        <w:tc>
          <w:tcPr>
            <w:tcW w:type="dxa" w:w="3230"/>
            <w:shd w:val="clear" w:color="auto" w:fill="F2F7FC"/>
          </w:tcPr>
          <w:p>
            <w:r>
              <w:rPr>
                <w:rFonts w:ascii="Calibri" w:hAnsi="Calibri"/>
                <w:sz w:val="20"/>
              </w:rPr>
              <w:t>Нерелевантные платформы</w:t>
            </w:r>
          </w:p>
        </w:tc>
      </w:tr>
      <w:tr>
        <w:tc>
          <w:tcPr>
            <w:tcW w:type="dxa" w:w="323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🟡 ВАЖНО</w:t>
            </w:r>
          </w:p>
        </w:tc>
        <w:tc>
          <w:tcPr>
            <w:tcW w:type="dxa" w:w="323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Заменить OpenID-провайдеры входа</w:t>
            </w:r>
          </w:p>
        </w:tc>
        <w:tc>
          <w:tcPr>
            <w:tcW w:type="dxa" w:w="323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LiveJournal и Mail.ru неприемлемы</w:t>
            </w:r>
          </w:p>
        </w:tc>
      </w:tr>
      <w:tr>
        <w:tc>
          <w:tcPr>
            <w:tcW w:type="dxa" w:w="3230"/>
            <w:shd w:val="clear" w:color="auto" w:fill="F2F7FC"/>
          </w:tcPr>
          <w:p>
            <w:r>
              <w:rPr>
                <w:rFonts w:ascii="Calibri" w:hAnsi="Calibri"/>
                <w:sz w:val="20"/>
              </w:rPr>
              <w:t>🟢 ЖЕЛАТЕЛЬНО</w:t>
            </w:r>
          </w:p>
        </w:tc>
        <w:tc>
          <w:tcPr>
            <w:tcW w:type="dxa" w:w="3230"/>
            <w:shd w:val="clear" w:color="auto" w:fill="F2F7FC"/>
          </w:tcPr>
          <w:p>
            <w:r>
              <w:rPr>
                <w:rFonts w:ascii="Calibri" w:hAnsi="Calibri"/>
                <w:sz w:val="20"/>
              </w:rPr>
              <w:t>Уточнить слоган и юридическое название</w:t>
            </w:r>
          </w:p>
        </w:tc>
        <w:tc>
          <w:tcPr>
            <w:tcW w:type="dxa" w:w="3230"/>
            <w:shd w:val="clear" w:color="auto" w:fill="F2F7FC"/>
          </w:tcPr>
          <w:p>
            <w:r>
              <w:rPr>
                <w:rFonts w:ascii="Calibri" w:hAnsi="Calibri"/>
                <w:sz w:val="20"/>
              </w:rPr>
              <w:t>Лучше звучит для EN-аудитории</w:t>
            </w:r>
          </w:p>
        </w:tc>
      </w:tr>
      <w:tr>
        <w:tc>
          <w:tcPr>
            <w:tcW w:type="dxa" w:w="323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🟢 ЖЕЛАТЕЛЬНО</w:t>
            </w:r>
          </w:p>
        </w:tc>
        <w:tc>
          <w:tcPr>
            <w:tcW w:type="dxa" w:w="323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Перевести ключевые статьи и новости</w:t>
            </w:r>
          </w:p>
        </w:tc>
        <w:tc>
          <w:tcPr>
            <w:tcW w:type="dxa" w:w="323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Повышает доверие и SEO</w:t>
            </w:r>
          </w:p>
        </w:tc>
      </w:tr>
    </w:tbl>
    <w:p/>
    <w:p>
      <w:pPr>
        <w:spacing w:before="240"/>
        <w:pBdr>
          <w:top w:val="single" w:sz="4" w:space="1" w:color="1F497D"/>
        </w:pBdr>
      </w:pPr>
    </w:p>
    <w:p>
      <w:pPr>
        <w:jc w:val="center"/>
      </w:pPr>
      <w:r>
        <w:rPr>
          <w:rFonts w:ascii="Calibri" w:hAnsi="Calibri"/>
          <w:color w:val="969696"/>
          <w:sz w:val="18"/>
        </w:rPr>
        <w:t>Документ подготовлен автоматически на основе анализа pmexcellence.com и pmexcellence.com/eng/  |  02.06.2026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