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0"/>
      </w:pPr>
      <w:r>
        <w:rPr>
          <w:b/>
          <w:i w:val="0"/>
          <w:color w:val="852A34"/>
          <w:sz w:val="52"/>
        </w:rPr>
        <w:t>АУДИТ САЙТА</w:t>
      </w:r>
    </w:p>
    <w:p>
      <w:pPr>
        <w:spacing w:before="0" w:after="40"/>
      </w:pPr>
      <w:r>
        <w:rPr>
          <w:b w:val="0"/>
          <w:i w:val="0"/>
          <w:color w:val="222222"/>
          <w:sz w:val="32"/>
        </w:rPr>
        <w:t>pmexcellence.com</w:t>
      </w:r>
    </w:p>
    <w:p>
      <w:pPr>
        <w:spacing w:before="0" w:after="40"/>
      </w:pPr>
      <w:r>
        <w:rPr>
          <w:b/>
          <w:i w:val="0"/>
          <w:color w:val="222222"/>
          <w:sz w:val="26"/>
        </w:rPr>
        <w:t>Кризисная версия — только критичное</w:t>
      </w:r>
    </w:p>
    <w:p>
      <w:pPr>
        <w:spacing w:before="0" w:after="360"/>
      </w:pPr>
      <w:r>
        <w:rPr>
          <w:b w:val="0"/>
          <w:i w:val="0"/>
          <w:color w:val="666666"/>
          <w:sz w:val="22"/>
        </w:rPr>
        <w:t>Максимум эффекта на продажи при минимуме ресурсов IT</w:t>
      </w:r>
    </w:p>
    <w:p>
      <w:pPr>
        <w:spacing w:before="0" w:after="0"/>
      </w:pPr>
      <w:r>
        <w:rPr>
          <w:b/>
          <w:i w:val="0"/>
          <w:color w:val="222222"/>
          <w:sz w:val="22"/>
        </w:rPr>
        <w:t>PM Excellence / РМ Групп</w:t>
      </w:r>
    </w:p>
    <w:p>
      <w:pPr>
        <w:spacing w:before="0" w:after="0"/>
      </w:pPr>
      <w:r>
        <w:rPr>
          <w:b w:val="0"/>
          <w:i w:val="0"/>
          <w:color w:val="666666"/>
          <w:sz w:val="22"/>
        </w:rPr>
        <w:t>Июнь 2026</w:t>
      </w:r>
    </w:p>
    <w:p>
      <w:pPr>
        <w:spacing w:before="360" w:after="160"/>
        <w:pBdr>
          <w:bottom w:val="single" w:sz="6" w:space="4" w:color="852A34"/>
        </w:pBdr>
      </w:pPr>
      <w:r>
        <w:rPr>
          <w:b/>
          <w:color w:val="852A34"/>
          <w:sz w:val="30"/>
        </w:rPr>
        <w:t>Принцип отбора</w:t>
      </w:r>
    </w:p>
    <w:p>
      <w:pPr>
        <w:spacing w:before="0" w:after="120"/>
      </w:pPr>
      <w:r>
        <w:rPr>
          <w:b w:val="0"/>
          <w:i w:val="0"/>
          <w:color w:val="222222"/>
          <w:sz w:val="22"/>
        </w:rPr>
        <w:t>В кризис у сайта одна задача — конвертировать тех немногих тёплых посетителей, что доходят до сайта, в разговор. Всё, что окупается через 3–6 месяцев (SEO, перестройка архитектуры, реструктуризация разделов), сейчас отложено. Ресурс IT тратим только на три вещи: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 xml:space="preserve">1. </w:t>
      </w:r>
      <w:r>
        <w:rPr>
          <w:color w:val="222222"/>
          <w:sz w:val="22"/>
        </w:rPr>
        <w:t>снять блокираторы — то, что физически мешает клиенту дойти или связаться;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 xml:space="preserve">2. </w:t>
      </w:r>
      <w:r>
        <w:rPr>
          <w:color w:val="222222"/>
          <w:sz w:val="22"/>
        </w:rPr>
        <w:t>починить первый экран — решение принимается за 3–5 секунд;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 xml:space="preserve">3. </w:t>
      </w:r>
      <w:r>
        <w:rPr>
          <w:color w:val="222222"/>
          <w:sz w:val="22"/>
        </w:rPr>
        <w:t>усилить аргумент продажи — Success Fee, «кому подходим», один CTA.</w:t>
      </w:r>
    </w:p>
    <w:p>
      <w:pPr>
        <w:spacing w:before="0" w:after="80"/>
      </w:pPr>
      <w:r>
        <w:rPr>
          <w:b w:val="0"/>
          <w:i w:val="0"/>
          <w:color w:val="222222"/>
          <w:sz w:val="22"/>
        </w:rPr>
        <w:t>Из ~30 рекомендаций исходного аудита оставлено 9 критичных (≈3 дня работы одного специалиста) и 3 опциональных. Остальное заморожено до восстановления продаж — см. последний раздел.</w:t>
      </w:r>
    </w:p>
    <w:p>
      <w:pPr>
        <w:spacing w:before="360" w:after="160"/>
        <w:pBdr>
          <w:bottom w:val="single" w:sz="6" w:space="4" w:color="852A34"/>
        </w:pBdr>
      </w:pPr>
      <w:r>
        <w:rPr>
          <w:b/>
          <w:color w:val="852A34"/>
          <w:sz w:val="30"/>
        </w:rPr>
        <w:t>Что делаем — критично и дёшево</w:t>
      </w:r>
    </w:p>
    <w:p>
      <w:pPr>
        <w:spacing w:before="240" w:after="40"/>
      </w:pPr>
      <w:r>
        <w:rPr>
          <w:b/>
          <w:color w:val="222222"/>
          <w:sz w:val="24"/>
        </w:rPr>
        <w:t>1. Настроить 301-редирект /services/ → /service-map/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Рабочая страница услуг — /service-map/ — открывается нормально (200 OK). Но адрес /services/ отдаёт ошибку 403: по нему могут приходить переходы из старой рекламы, внешних ссылок и поисковой выдачи — и эти посетители получают отказ вместо страницы услуг. Бесплатно (настройка сервера), предотвращает потерю тёплого трафика.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Настроить 301-редирект с /services/ на /service-map/. Если адрес /services/ нигде не использовался (нет ссылок в рекламе и поисковой выдаче) — пункт можно снять. На 23.06.2026: /service-map/ → 200 OK, /services/ → 403.</w:t>
      </w:r>
    </w:p>
    <w:p>
      <w:pPr>
        <w:spacing w:before="240" w:after="40"/>
      </w:pPr>
      <w:r>
        <w:rPr>
          <w:b/>
          <w:color w:val="222222"/>
          <w:sz w:val="24"/>
        </w:rPr>
        <w:t>2. Один email вместо двух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На сайте два адреса: info@pmce.ru (контакты) и pmc@pmexcellence.com (шапка и футер). Путаница = потерянное обращение и впечатление непоследовательности.</w:t>
      </w:r>
    </w:p>
    <w:p>
      <w:pPr>
        <w:spacing w:after="20"/>
      </w:pPr>
      <w:r>
        <w:rPr>
          <w:b/>
          <w:color w:val="666666"/>
          <w:sz w:val="21"/>
        </w:rPr>
        <w:t xml:space="preserve">Было: </w:t>
      </w:r>
      <w:r>
        <w:rPr>
          <w:i/>
          <w:color w:val="666666"/>
          <w:sz w:val="21"/>
        </w:rPr>
        <w:t>info@pmce.ru и pmc@pmexcellence.com одновременно</w:t>
      </w:r>
    </w:p>
    <w:p>
      <w:pPr>
        <w:spacing w:after="40"/>
      </w:pPr>
      <w:r>
        <w:rPr>
          <w:b/>
          <w:color w:val="2E7D32"/>
          <w:sz w:val="21"/>
        </w:rPr>
        <w:t xml:space="preserve">Стало: </w:t>
      </w:r>
      <w:r>
        <w:rPr>
          <w:color w:val="2E7D32"/>
          <w:sz w:val="21"/>
        </w:rPr>
        <w:t>pmc@pmexcellence.com — единый контакт везде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Оставить единый pmc@pmexcellence.com везде (совпадает с доменом и брендом). На info@pmce.ru настроить переадресацию.</w:t>
      </w:r>
    </w:p>
    <w:p>
      <w:pPr>
        <w:spacing w:before="240" w:after="40"/>
      </w:pPr>
      <w:r>
        <w:rPr>
          <w:b/>
          <w:color w:val="222222"/>
          <w:sz w:val="24"/>
        </w:rPr>
        <w:t>3. Новый H1 на главной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Первый экран = решение за 3–5 секунд. H1 «Профессиональное управление…» — абстрактен, слово «профессиональное» используют все. Нулевая стоимость правки, максимальный эффект на конверсию.</w:t>
      </w:r>
    </w:p>
    <w:p>
      <w:pPr>
        <w:spacing w:after="20"/>
      </w:pPr>
      <w:r>
        <w:rPr>
          <w:b/>
          <w:color w:val="666666"/>
          <w:sz w:val="21"/>
        </w:rPr>
        <w:t xml:space="preserve">Было: </w:t>
      </w:r>
      <w:r>
        <w:rPr>
          <w:i/>
          <w:color w:val="666666"/>
          <w:sz w:val="21"/>
        </w:rPr>
        <w:t>Профессиональное управление крупными и мегапроектами</w:t>
      </w:r>
    </w:p>
    <w:p>
      <w:pPr>
        <w:spacing w:after="40"/>
      </w:pPr>
      <w:r>
        <w:rPr>
          <w:b/>
          <w:color w:val="2E7D32"/>
          <w:sz w:val="21"/>
        </w:rPr>
        <w:t xml:space="preserve">Стало: </w:t>
      </w:r>
      <w:r>
        <w:rPr>
          <w:color w:val="2E7D32"/>
          <w:sz w:val="21"/>
        </w:rPr>
        <w:t>Берём управление вашим проектом. Сроки и бюджет — наша ответственность.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Поставить продающий H1 по формуле [Что делаем] + [Для кого] + [Результат]. Рекомендуемые варианты — в разделе «Семантика» ниже.</w:t>
      </w:r>
    </w:p>
    <w:p>
      <w:pPr>
        <w:spacing w:before="240" w:after="40"/>
      </w:pPr>
      <w:r>
        <w:rPr>
          <w:b/>
          <w:color w:val="222222"/>
          <w:sz w:val="24"/>
        </w:rPr>
        <w:t>4. Убрать аббревиатуры PMC / EPC из первого экрана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Подзаголовок «PM Excellence (РМС | EPC) — первый PMC | EPC подрядчик в России» содержит четыре аббревиатуры. Их понимают ~5% аудитории, остальные уходят, не разобравшись.</w:t>
      </w:r>
    </w:p>
    <w:p>
      <w:pPr>
        <w:spacing w:after="20"/>
      </w:pPr>
      <w:r>
        <w:rPr>
          <w:b/>
          <w:color w:val="666666"/>
          <w:sz w:val="21"/>
        </w:rPr>
        <w:t xml:space="preserve">Было: </w:t>
      </w:r>
      <w:r>
        <w:rPr>
          <w:i/>
          <w:color w:val="666666"/>
          <w:sz w:val="21"/>
        </w:rPr>
        <w:t>первый PMC | EPC подрядчик в России</w:t>
      </w:r>
    </w:p>
    <w:p>
      <w:pPr>
        <w:spacing w:after="40"/>
      </w:pPr>
      <w:r>
        <w:rPr>
          <w:b/>
          <w:color w:val="2E7D32"/>
          <w:sz w:val="21"/>
        </w:rPr>
        <w:t xml:space="preserve">Стало: </w:t>
      </w:r>
      <w:r>
        <w:rPr>
          <w:color w:val="2E7D32"/>
          <w:sz w:val="21"/>
        </w:rPr>
        <w:t>Внешняя команда управления проектами. Берём ответственность за сроки, бюджет и подрядчиков — от старта до сдачи объекта.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Аббревиатуры — вниз страницы, в блок «Что такое PMC». В подзаголовке hero — простое объяснение.</w:t>
      </w:r>
    </w:p>
    <w:p>
      <w:pPr>
        <w:spacing w:before="240" w:after="40"/>
      </w:pPr>
      <w:r>
        <w:rPr>
          <w:b/>
          <w:color w:val="222222"/>
          <w:sz w:val="24"/>
        </w:rPr>
        <w:t>5. Убрать токсичные фразы с первого экрана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«В управлении проектами нет гарантий» — ментальный стоп-сигнал на пороге. «Видеть цель… не замечать препятствий» — прямой красный флаг для клиентов из нефтегаза и инфраструктуры, которые покупают именно управление рисками.</w:t>
      </w:r>
    </w:p>
    <w:p>
      <w:pPr>
        <w:spacing w:after="20"/>
      </w:pPr>
      <w:r>
        <w:rPr>
          <w:b/>
          <w:color w:val="666666"/>
          <w:sz w:val="21"/>
        </w:rPr>
        <w:t xml:space="preserve">Было: </w:t>
      </w:r>
      <w:r>
        <w:rPr>
          <w:i/>
          <w:color w:val="666666"/>
          <w:sz w:val="21"/>
        </w:rPr>
        <w:t>В управлении проектами нет гарантий… / …не замечать препятствий</w:t>
      </w:r>
    </w:p>
    <w:p>
      <w:pPr>
        <w:spacing w:after="40"/>
      </w:pPr>
      <w:r>
        <w:rPr>
          <w:b/>
          <w:color w:val="2E7D32"/>
          <w:sz w:val="21"/>
        </w:rPr>
        <w:t xml:space="preserve">Стало: </w:t>
      </w:r>
      <w:r>
        <w:rPr>
          <w:color w:val="2E7D32"/>
          <w:sz w:val="21"/>
        </w:rPr>
        <w:t>Мы берём ответственность за результат. Гонорар привязан к нему.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Заменить на утверждения уверенности и ответственности (см. таблицу замен ниже) либо удалить.</w:t>
      </w:r>
    </w:p>
    <w:p>
      <w:pPr>
        <w:spacing w:before="240" w:after="40"/>
      </w:pPr>
      <w:r>
        <w:rPr>
          <w:b/>
          <w:color w:val="222222"/>
          <w:sz w:val="24"/>
        </w:rPr>
        <w:t>6. Один CTA «Обсудить ваш проект →» вместо трёх кнопок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Кнопки «Обратный звонок», «Обратная связь», «Регистрация» размыты и конкурируют между собой. Чем больше CTA, тем ниже конверсия. Правило одного действия на экран.</w:t>
      </w:r>
    </w:p>
    <w:p>
      <w:pPr>
        <w:spacing w:after="20"/>
      </w:pPr>
      <w:r>
        <w:rPr>
          <w:b/>
          <w:color w:val="666666"/>
          <w:sz w:val="21"/>
        </w:rPr>
        <w:t xml:space="preserve">Было: </w:t>
      </w:r>
      <w:r>
        <w:rPr>
          <w:i/>
          <w:color w:val="666666"/>
          <w:sz w:val="21"/>
        </w:rPr>
        <w:t>Обратный звонок / Обратная связь / Регистрация</w:t>
      </w:r>
    </w:p>
    <w:p>
      <w:pPr>
        <w:spacing w:after="40"/>
      </w:pPr>
      <w:r>
        <w:rPr>
          <w:b/>
          <w:color w:val="2E7D32"/>
          <w:sz w:val="21"/>
        </w:rPr>
        <w:t xml:space="preserve">Стало: </w:t>
      </w:r>
      <w:r>
        <w:rPr>
          <w:color w:val="2E7D32"/>
          <w:sz w:val="21"/>
        </w:rPr>
        <w:t>Обсудить ваш проект →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Один главный CTA «Обсудить ваш проект →» в шапке и hero. Второстепенный — «Смотреть примеры проектов». «Регистрацию» с главной убрать.</w:t>
      </w:r>
    </w:p>
    <w:p>
      <w:pPr>
        <w:spacing w:before="240" w:after="40"/>
      </w:pPr>
      <w:r>
        <w:rPr>
          <w:b/>
          <w:color w:val="222222"/>
          <w:sz w:val="24"/>
        </w:rPr>
        <w:t>7. Блок цифр под H1 вместо 9 цитат директоров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Сразу после hero идут 9 философских цитат директоров — раньше, чем клиент купил доверие к компании. Цифры в первые 5 секунд — главный инструмент доверия в B2B; цитаты — нет.</w:t>
      </w:r>
    </w:p>
    <w:p>
      <w:pPr>
        <w:spacing w:after="20"/>
      </w:pPr>
      <w:r>
        <w:rPr>
          <w:b/>
          <w:color w:val="666666"/>
          <w:sz w:val="21"/>
        </w:rPr>
        <w:t xml:space="preserve">Было: </w:t>
      </w:r>
      <w:r>
        <w:rPr>
          <w:i/>
          <w:color w:val="666666"/>
          <w:sz w:val="21"/>
        </w:rPr>
        <w:t>[Hero] → [9 цитат директоров] → [Проекты]</w:t>
      </w:r>
    </w:p>
    <w:p>
      <w:pPr>
        <w:spacing w:after="40"/>
      </w:pPr>
      <w:r>
        <w:rPr>
          <w:b/>
          <w:color w:val="2E7D32"/>
          <w:sz w:val="21"/>
        </w:rPr>
        <w:t xml:space="preserve">Стало: </w:t>
      </w:r>
      <w:r>
        <w:rPr>
          <w:color w:val="2E7D32"/>
          <w:sz w:val="21"/>
        </w:rPr>
        <w:t>[Hero] → [Цифры: 50+ специалистов, 700+ резерв, X проектов, Y млрд ₽] → [Клиенты]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Перенести блок команды вниз главной (или на страницу «Команда»). На его место — блок социального доказательства (состав — в разделе «Семантика» ниже).</w:t>
      </w:r>
    </w:p>
    <w:p>
      <w:pPr>
        <w:spacing w:before="240" w:after="40"/>
      </w:pPr>
      <w:r>
        <w:rPr>
          <w:b/>
          <w:color w:val="222222"/>
          <w:sz w:val="24"/>
        </w:rPr>
        <w:t>8. Внятно объяснить Success Fee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Это ваш сильнейший аргумент в кризис: вы делите риск с клиентом. Сейчас он похоронен в тексте на странице «О компании» и не считывается как преимущество.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Добавить понятный блок: «Часть нашего гонорара привязана к результату проекта. Сдан в срок и в бюджет — мы зарабатываем больше. Наши интересы совпадают с вашими.» Вынести на видное место (главная или верх «О компании»).</w:t>
      </w:r>
    </w:p>
    <w:p>
      <w:pPr>
        <w:spacing w:before="240" w:after="40"/>
      </w:pPr>
      <w:r>
        <w:rPr>
          <w:b/>
          <w:color w:val="222222"/>
          <w:sz w:val="24"/>
        </w:rPr>
        <w:t>9. Блок «Кому подходим»</w:t>
      </w:r>
    </w:p>
    <w:p>
      <w:pPr>
        <w:spacing w:after="40"/>
      </w:pPr>
      <w:r>
        <w:rPr>
          <w:b/>
          <w:color w:val="852A34"/>
          <w:sz w:val="21"/>
        </w:rPr>
        <w:t xml:space="preserve">Почему это деньги: </w:t>
      </w:r>
      <w:r>
        <w:rPr>
          <w:sz w:val="21"/>
        </w:rPr>
        <w:t>Условие «от 1 млрд ₽ в год» и стоимость «1–5% от бюджета» спрятаны в середине текста. Явный квалификатор отсекает нецелевые обращения и экономит время отдела продаж — критично, когда людей мало.</w:t>
      </w:r>
    </w:p>
    <w:p>
      <w:pPr>
        <w:spacing w:after="120"/>
      </w:pPr>
      <w:r>
        <w:rPr>
          <w:b/>
          <w:sz w:val="21"/>
        </w:rPr>
        <w:t xml:space="preserve">Что сделать: </w:t>
      </w:r>
      <w:r>
        <w:rPr>
          <w:sz w:val="21"/>
        </w:rPr>
        <w:t>Отдельный блок «Кому подходит PM Excellence»: бюджет проекта от 1 млрд ₽; отрасли — нефтегаз, девелопмент, промышленность, инфраструктура; стадия — планирование, реализация или антикризисное управление.</w:t>
      </w:r>
    </w:p>
    <w:p>
      <w:pPr>
        <w:spacing w:before="160" w:after="80"/>
      </w:pPr>
      <w:r>
        <w:rPr>
          <w:b w:val="0"/>
          <w:i/>
          <w:color w:val="666666"/>
          <w:sz w:val="22"/>
        </w:rPr>
        <w:t>Пункты 1–6 — около одного рабочего дня одного специалиста (текст и настройки). Пункты 7–9 — ещё 1–2 дня (контент и вёрстка блоков).</w:t>
      </w:r>
    </w:p>
    <w:p>
      <w:pPr>
        <w:spacing w:before="360" w:after="160"/>
        <w:pBdr>
          <w:bottom w:val="single" w:sz="6" w:space="4" w:color="852A34"/>
        </w:pBdr>
      </w:pPr>
      <w:r>
        <w:rPr>
          <w:b/>
          <w:color w:val="852A34"/>
          <w:sz w:val="30"/>
        </w:rPr>
        <w:t>Семантика — готовые формулировки для вставки</w:t>
      </w:r>
    </w:p>
    <w:p>
      <w:pPr>
        <w:spacing w:before="0" w:after="80"/>
      </w:pPr>
      <w:r>
        <w:rPr>
          <w:b/>
          <w:i w:val="0"/>
          <w:color w:val="852A34"/>
          <w:sz w:val="22"/>
        </w:rPr>
        <w:t>Варианты H1 для главной (пункт 3)</w:t>
      </w:r>
    </w:p>
    <w:p>
      <w:pPr>
        <w:spacing w:before="0" w:after="20"/>
      </w:pPr>
      <w:r>
        <w:rPr>
          <w:b/>
          <w:i w:val="0"/>
          <w:color w:val="222222"/>
          <w:sz w:val="22"/>
        </w:rPr>
        <w:t>Вариант A — через ответственность (рекомендуемый)</w:t>
      </w:r>
    </w:p>
    <w:p>
      <w:pPr>
        <w:spacing w:before="0" w:after="20"/>
      </w:pPr>
      <w:r>
        <w:rPr>
          <w:b w:val="0"/>
          <w:i w:val="0"/>
          <w:color w:val="222222"/>
          <w:sz w:val="22"/>
        </w:rPr>
        <w:t>Берём управление вашим проектом. Сроки и бюджет — наша ответственность.</w:t>
      </w:r>
    </w:p>
    <w:p>
      <w:pPr>
        <w:spacing w:before="0" w:after="120"/>
      </w:pPr>
      <w:r>
        <w:rPr>
          <w:b w:val="0"/>
          <w:i w:val="0"/>
          <w:color w:val="666666"/>
          <w:sz w:val="21"/>
        </w:rPr>
        <w:t>Подзаголовок: Внешняя команда управления проектами для нефтегаза, девелопмента и промышленного строительства. Работаем за success fee.</w:t>
      </w:r>
    </w:p>
    <w:p>
      <w:pPr>
        <w:spacing w:before="0" w:after="20"/>
      </w:pPr>
      <w:r>
        <w:rPr>
          <w:b/>
          <w:i w:val="0"/>
          <w:color w:val="222222"/>
          <w:sz w:val="22"/>
        </w:rPr>
        <w:t>Вариант C — через боль клиента</w:t>
      </w:r>
    </w:p>
    <w:p>
      <w:pPr>
        <w:spacing w:before="0" w:after="20"/>
      </w:pPr>
      <w:r>
        <w:rPr>
          <w:b w:val="0"/>
          <w:i w:val="0"/>
          <w:color w:val="222222"/>
          <w:sz w:val="22"/>
        </w:rPr>
        <w:t>Проект горит? Мы возьмём управление на себя.</w:t>
      </w:r>
    </w:p>
    <w:p>
      <w:pPr>
        <w:spacing w:before="0" w:after="160"/>
      </w:pPr>
      <w:r>
        <w:rPr>
          <w:b w:val="0"/>
          <w:i w:val="0"/>
          <w:color w:val="666666"/>
          <w:sz w:val="21"/>
        </w:rPr>
        <w:t>Подзаголовок: PM Excellence — первая в России команда PMC-управляющих. 50+ специалистов, реальная ответственность за результат.</w:t>
      </w:r>
    </w:p>
    <w:p>
      <w:pPr>
        <w:spacing w:before="0" w:after="80"/>
      </w:pPr>
      <w:r>
        <w:rPr>
          <w:b/>
          <w:i w:val="0"/>
          <w:color w:val="852A34"/>
          <w:sz w:val="22"/>
        </w:rPr>
        <w:t>Блок цифр под H1 (пункт 7)</w:t>
      </w:r>
    </w:p>
    <w:p>
      <w:pPr>
        <w:pStyle w:val="ListBullet"/>
        <w:spacing w:after="80"/>
      </w:pPr>
      <w:r>
        <w:rPr>
          <w:color w:val="222222"/>
          <w:sz w:val="22"/>
        </w:rPr>
        <w:t>50+ — сертифицированных специалистов в штате</w:t>
      </w:r>
    </w:p>
    <w:p>
      <w:pPr>
        <w:pStyle w:val="ListBullet"/>
        <w:spacing w:after="80"/>
      </w:pPr>
      <w:r>
        <w:rPr>
          <w:color w:val="222222"/>
          <w:sz w:val="22"/>
        </w:rPr>
        <w:t>700+ — человек в кадровом резерве</w:t>
      </w:r>
    </w:p>
    <w:p>
      <w:pPr>
        <w:pStyle w:val="ListBullet"/>
        <w:spacing w:after="80"/>
      </w:pPr>
      <w:r>
        <w:rPr>
          <w:color w:val="222222"/>
          <w:sz w:val="22"/>
        </w:rPr>
        <w:t>1–5% — от бюджета: стоимость услуги</w:t>
      </w:r>
    </w:p>
    <w:p>
      <w:pPr>
        <w:pStyle w:val="ListBullet"/>
        <w:spacing w:after="80"/>
      </w:pPr>
      <w:r>
        <w:rPr>
          <w:color w:val="222222"/>
          <w:sz w:val="22"/>
        </w:rPr>
        <w:t>X — проектов завершено (подставить реальную цифру)</w:t>
      </w:r>
    </w:p>
    <w:p>
      <w:pPr>
        <w:pStyle w:val="ListBullet"/>
        <w:spacing w:after="80"/>
      </w:pPr>
      <w:r>
        <w:rPr>
          <w:color w:val="222222"/>
          <w:sz w:val="22"/>
        </w:rPr>
        <w:t>Y млрд ₽ — суммарный бюджет под управлением (подставить реальную цифру)</w:t>
      </w:r>
    </w:p>
    <w:p>
      <w:pPr>
        <w:spacing w:before="120" w:after="80"/>
      </w:pPr>
      <w:r>
        <w:rPr>
          <w:b/>
          <w:i w:val="0"/>
          <w:color w:val="852A34"/>
          <w:sz w:val="22"/>
        </w:rPr>
        <w:t>Замена токсичных фраз (пункт 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685"/>
            <w:shd w:val="clear" w:color="auto" w:fill="852A3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Было</w:t>
            </w:r>
          </w:p>
        </w:tc>
        <w:tc>
          <w:tcPr>
            <w:tcW w:type="dxa" w:w="5386"/>
            <w:shd w:val="clear" w:color="auto" w:fill="852A34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Стало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color w:val="B03A2E"/>
                <w:sz w:val="20"/>
              </w:rPr>
              <w:t>Профессиональное управление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color w:val="2E7D32"/>
                <w:sz w:val="20"/>
              </w:rPr>
              <w:t>Управляем вашим проектом. Результат — наша ответственность.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color w:val="B03A2E"/>
                <w:sz w:val="20"/>
              </w:rPr>
              <w:t>В управлении проектами нет гарантий…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color w:val="2E7D32"/>
                <w:sz w:val="20"/>
              </w:rPr>
              <w:t>Мы берём ответственность за результат. Гонорар привязан к нему.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color w:val="B03A2E"/>
                <w:sz w:val="20"/>
              </w:rPr>
              <w:t>Не является консультантом…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color w:val="2E7D32"/>
                <w:sz w:val="20"/>
              </w:rPr>
              <w:t>Мы на стороне заказчика — без конфликта интересов с подрядчиками.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color w:val="B03A2E"/>
                <w:sz w:val="20"/>
              </w:rPr>
              <w:t>Видеть цель, верить в себя…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color w:val="2E7D32"/>
                <w:sz w:val="20"/>
              </w:rPr>
              <w:t>Убрать. Заменить конкретным кейсом или цифрой.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color w:val="B03A2E"/>
                <w:sz w:val="20"/>
              </w:rPr>
              <w:t>PMC | EPC подрядчик (в hero)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color w:val="2E7D32"/>
                <w:sz w:val="20"/>
              </w:rPr>
              <w:t>Внешняя команда управления проектами под ключ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color w:val="B03A2E"/>
                <w:sz w:val="20"/>
              </w:rPr>
              <w:t>Обратный звонок / Обратная связь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color w:val="2E7D32"/>
                <w:sz w:val="20"/>
              </w:rPr>
              <w:t>Обсудить ваш проект →</w:t>
            </w:r>
          </w:p>
        </w:tc>
      </w:tr>
    </w:tbl>
    <w:p>
      <w:pPr>
        <w:spacing w:before="360" w:after="160"/>
        <w:pBdr>
          <w:bottom w:val="single" w:sz="6" w:space="4" w:color="852A34"/>
        </w:pBdr>
      </w:pPr>
      <w:r>
        <w:rPr>
          <w:b/>
          <w:color w:val="852A34"/>
          <w:sz w:val="30"/>
        </w:rPr>
        <w:t>Кризисный план внедрения</w:t>
      </w:r>
    </w:p>
    <w:p>
      <w:pPr>
        <w:spacing w:before="0" w:after="160"/>
      </w:pPr>
      <w:r>
        <w:rPr>
          <w:b w:val="0"/>
          <w:i w:val="0"/>
          <w:color w:val="666666"/>
          <w:sz w:val="22"/>
        </w:rPr>
        <w:t>Очередность — по принципу «максимум эффекта при минимуме усилий».</w:t>
      </w:r>
    </w:p>
    <w:p>
      <w:pPr>
        <w:spacing w:before="0" w:after="60"/>
      </w:pPr>
      <w:r>
        <w:rPr>
          <w:b/>
          <w:i w:val="0"/>
          <w:color w:val="852A34"/>
          <w:sz w:val="22"/>
        </w:rPr>
        <w:t>Шаг 1 — немедленно (1 день, без разработки)</w:t>
      </w:r>
    </w:p>
    <w:p>
      <w:pPr>
        <w:pStyle w:val="ListBullet"/>
        <w:spacing w:after="80"/>
      </w:pPr>
      <w:r>
        <w:rPr>
          <w:color w:val="222222"/>
          <w:sz w:val="22"/>
        </w:rPr>
        <w:t>Настроить 301-редирект /services/ → /service-map/ (рабочая страница услуг)</w:t>
      </w:r>
    </w:p>
    <w:p>
      <w:pPr>
        <w:pStyle w:val="ListBullet"/>
        <w:spacing w:after="80"/>
      </w:pPr>
      <w:r>
        <w:rPr>
          <w:color w:val="222222"/>
          <w:sz w:val="22"/>
        </w:rPr>
        <w:t>Свести два email к единому pmc@pmexcellence.com</w:t>
      </w:r>
    </w:p>
    <w:p>
      <w:pPr>
        <w:pStyle w:val="ListBullet"/>
        <w:spacing w:after="80"/>
      </w:pPr>
      <w:r>
        <w:rPr>
          <w:color w:val="222222"/>
          <w:sz w:val="22"/>
        </w:rPr>
        <w:t>Заменить H1 на продающий (Вариант A или C)</w:t>
      </w:r>
    </w:p>
    <w:p>
      <w:pPr>
        <w:pStyle w:val="ListBullet"/>
        <w:spacing w:after="80"/>
      </w:pPr>
      <w:r>
        <w:rPr>
          <w:color w:val="222222"/>
          <w:sz w:val="22"/>
        </w:rPr>
        <w:t>Переписать подзаголовок hero без аббревиатур PMC/EPC</w:t>
      </w:r>
    </w:p>
    <w:p>
      <w:pPr>
        <w:pStyle w:val="ListBullet"/>
        <w:spacing w:after="80"/>
      </w:pPr>
      <w:r>
        <w:rPr>
          <w:color w:val="222222"/>
          <w:sz w:val="22"/>
        </w:rPr>
        <w:t>Убрать фразы «нет гарантий» и «не замечать препятствий»</w:t>
      </w:r>
    </w:p>
    <w:p>
      <w:pPr>
        <w:pStyle w:val="ListBullet"/>
        <w:spacing w:after="80"/>
      </w:pPr>
      <w:r>
        <w:rPr>
          <w:color w:val="222222"/>
          <w:sz w:val="22"/>
        </w:rPr>
        <w:t>Поставить единый CTA «Обсудить ваш проект →» в шапку и hero</w:t>
      </w:r>
    </w:p>
    <w:p>
      <w:pPr>
        <w:spacing w:before="120" w:after="60"/>
      </w:pPr>
      <w:r>
        <w:rPr>
          <w:b/>
          <w:i w:val="0"/>
          <w:color w:val="852A34"/>
          <w:sz w:val="22"/>
        </w:rPr>
        <w:t>Шаг 2 — 1–2 дня (контент и вёрстка блоков)</w:t>
      </w:r>
    </w:p>
    <w:p>
      <w:pPr>
        <w:pStyle w:val="ListBullet"/>
        <w:spacing w:after="80"/>
      </w:pPr>
      <w:r>
        <w:rPr>
          <w:color w:val="222222"/>
          <w:sz w:val="22"/>
        </w:rPr>
        <w:t>Заменить 9 цитат директоров на первом экране блоком цифр</w:t>
      </w:r>
    </w:p>
    <w:p>
      <w:pPr>
        <w:pStyle w:val="ListBullet"/>
        <w:spacing w:after="80"/>
      </w:pPr>
      <w:r>
        <w:rPr>
          <w:color w:val="222222"/>
          <w:sz w:val="22"/>
        </w:rPr>
        <w:t>Вынести и внятно объяснить Success Fee на видном месте</w:t>
      </w:r>
    </w:p>
    <w:p>
      <w:pPr>
        <w:pStyle w:val="ListBullet"/>
        <w:spacing w:after="80"/>
      </w:pPr>
      <w:r>
        <w:rPr>
          <w:color w:val="222222"/>
          <w:sz w:val="22"/>
        </w:rPr>
        <w:t>Добавить блок «Кому подходим» (бюджет, отрасли, стадия)</w:t>
      </w:r>
    </w:p>
    <w:p>
      <w:pPr>
        <w:spacing w:before="360" w:after="160"/>
        <w:pBdr>
          <w:bottom w:val="single" w:sz="6" w:space="4" w:color="852A34"/>
        </w:pBdr>
      </w:pPr>
      <w:r>
        <w:rPr>
          <w:b/>
          <w:color w:val="852A34"/>
          <w:sz w:val="30"/>
        </w:rPr>
        <w:t>Заморожено до восстановления продаж</w:t>
      </w:r>
    </w:p>
    <w:p>
      <w:pPr>
        <w:spacing w:before="0" w:after="160"/>
      </w:pPr>
      <w:r>
        <w:rPr>
          <w:b w:val="0"/>
          <w:i w:val="0"/>
          <w:color w:val="666666"/>
          <w:sz w:val="22"/>
        </w:rPr>
        <w:t>Эти работы из исходного аудита сознательно исключены — высокая стоимость и отложенная отдача. Возвращаемся к ним после стабилизации продаж.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  <w:shd w:val="clear" w:color="auto" w:fill="852A3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5669"/>
            <w:shd w:val="clear" w:color="auto" w:fill="852A34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Почему откладываем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Перестройка навигации в 5 пунктов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Структурная работа, дорого; на конверсию текущего посетителя почти не влияет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Объединение «Медиацентр» + «Материалы»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Реструктуризация ради чистоты, не ради продаж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Перенос «Риск-сессии» в меню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Косметика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Специализации и замена цитат на «Команде»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Не влияет на выживание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Формы захвата email перед скачиванием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Требует разработки; лидген «вдолгую»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Полный рерайт «О компании»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Дорого. Берём только дешёвый максимум: Success Fee + «Кому подходим» + первая фраза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Кейсы с цифрами, калькулятор «Нужен ли вам PMC?»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Требуют сбора данных и разработки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b/>
                <w:color w:val="222222"/>
                <w:sz w:val="20"/>
              </w:rPr>
              <w:t>SEO-оптимизация, FAQ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color w:val="666666"/>
                <w:sz w:val="20"/>
              </w:rPr>
              <w:t>SEO окупается через 3–6 мес — нет ни времени, ни ресурса сейчас</w:t>
            </w:r>
          </w:p>
        </w:tc>
      </w:tr>
    </w:tbl>
    <w:p>
      <w:pPr>
        <w:spacing w:before="360" w:after="160"/>
        <w:pBdr>
          <w:bottom w:val="single" w:sz="6" w:space="4" w:color="852A34"/>
        </w:pBdr>
      </w:pPr>
      <w:r>
        <w:rPr>
          <w:b/>
          <w:color w:val="852A34"/>
          <w:sz w:val="30"/>
        </w:rPr>
        <w:t>Опционально — если останется время</w:t>
      </w:r>
    </w:p>
    <w:p>
      <w:pPr>
        <w:pStyle w:val="ListBullet"/>
        <w:spacing w:after="80"/>
      </w:pPr>
      <w:r>
        <w:rPr>
          <w:color w:val="222222"/>
          <w:sz w:val="22"/>
        </w:rPr>
        <w:t>«Не является консультантом…» → «Мы на стороне заказчика, без конфликта интересов» (только текст)</w:t>
      </w:r>
    </w:p>
    <w:p>
      <w:pPr>
        <w:pStyle w:val="ListBullet"/>
        <w:spacing w:after="80"/>
      </w:pPr>
      <w:r>
        <w:rPr>
          <w:color w:val="222222"/>
          <w:sz w:val="22"/>
        </w:rPr>
        <w:t>Telegram-ссылка в контактах — снимает барьер часовых поясов регионов</w:t>
      </w:r>
    </w:p>
    <w:p>
      <w:pPr>
        <w:pStyle w:val="ListBullet"/>
        <w:spacing w:after="80"/>
      </w:pPr>
      <w:r>
        <w:rPr>
          <w:color w:val="222222"/>
          <w:sz w:val="22"/>
        </w:rPr>
        <w:t>По 1 строке результата к 2–3 ключевым логотипам клиентов (нужны данные от вас)</w:t>
      </w:r>
    </w:p>
    <w:p>
      <w:pPr>
        <w:spacing w:before="360" w:after="0"/>
      </w:pPr>
      <w:r>
        <w:rPr>
          <w:b w:val="0"/>
          <w:i w:val="0"/>
          <w:color w:val="666666"/>
          <w:sz w:val="18"/>
        </w:rPr>
        <w:t>Аудит подготовлен для PM Excellence / РМ Групп · pmexcellence.com · Июнь 2026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