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0B981"/>
          <w:sz w:val="32"/>
        </w:rPr>
        <w:t>ТЗ на баннеры Gradenta — Яндекс Директ РСЯ</w:t>
      </w:r>
    </w:p>
    <w:p/>
    <w:p>
      <w:r>
        <w:rPr>
          <w:b/>
          <w:sz w:val="22"/>
        </w:rPr>
        <w:t xml:space="preserve">Продукт: </w:t>
      </w:r>
      <w:r>
        <w:rPr>
          <w:sz w:val="22"/>
        </w:rPr>
        <w:t>Gradenta — облачная ИИ-платформа для автоматизации ПТО в строительстве (ВОР, КСГ, распознавание PDF).</w:t>
      </w:r>
    </w:p>
    <w:p>
      <w:r>
        <w:rPr>
          <w:b/>
          <w:sz w:val="22"/>
        </w:rPr>
        <w:t xml:space="preserve">Аудитория: </w:t>
      </w:r>
      <w:r>
        <w:rPr>
          <w:sz w:val="22"/>
        </w:rPr>
        <w:t>инженеры ПТО, руководители строительных проектов, подрядчики.</w:t>
      </w:r>
    </w:p>
    <w:p>
      <w:r>
        <w:rPr>
          <w:b/>
          <w:sz w:val="22"/>
        </w:rPr>
        <w:t xml:space="preserve">Цель баннеров: </w:t>
      </w:r>
      <w:r>
        <w:rPr>
          <w:sz w:val="22"/>
        </w:rPr>
        <w:t>привлечь демо-запросы. CTA — «Получить демо».</w:t>
      </w:r>
    </w:p>
    <w:p>
      <w:r>
        <w:rPr>
          <w:b/>
          <w:sz w:val="22"/>
        </w:rPr>
        <w:t xml:space="preserve">Стиль: </w:t>
      </w:r>
      <w:r>
        <w:rPr>
          <w:sz w:val="22"/>
        </w:rPr>
        <w:t>в соответствии с визуальным стилем сайта gradenta.info.</w:t>
      </w:r>
    </w:p>
    <w:p/>
    <w:p>
      <w:pPr>
        <w:pStyle w:val="Heading1"/>
      </w:pPr>
      <w:r>
        <w:rPr>
          <w:color w:val="10B981"/>
        </w:rPr>
        <w:t>Форматы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Формат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Размер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Широкий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1080 × 607 px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Квадратный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1080 × 1080 px</w:t>
            </w:r>
          </w:p>
        </w:tc>
      </w:tr>
    </w:tbl>
    <w:p/>
    <w:p>
      <w:pPr>
        <w:pStyle w:val="Heading1"/>
      </w:pPr>
      <w:r>
        <w:rPr>
          <w:color w:val="10B981"/>
        </w:rPr>
        <w:t>Содержание баннеров</w:t>
      </w:r>
    </w:p>
    <w:p>
      <w:pPr>
        <w:pStyle w:val="Heading2"/>
      </w:pPr>
      <w:r>
        <w:rPr>
          <w:color w:val="10B981"/>
        </w:rPr>
        <w:t>Вариант А (оба формата)</w:t>
      </w:r>
    </w:p>
    <w:p>
      <w:pPr>
        <w:pStyle w:val="ListBullet"/>
      </w:pPr>
      <w:r>
        <w:rPr>
          <w:b/>
          <w:sz w:val="22"/>
        </w:rPr>
        <w:t xml:space="preserve">Заголовок: </w:t>
      </w:r>
      <w:r>
        <w:rPr>
          <w:sz w:val="22"/>
        </w:rPr>
        <w:t>«Автоматизация ПТО»</w:t>
      </w:r>
    </w:p>
    <w:p>
      <w:pPr>
        <w:pStyle w:val="ListBullet"/>
      </w:pPr>
      <w:r>
        <w:rPr>
          <w:b/>
          <w:sz w:val="22"/>
        </w:rPr>
        <w:t xml:space="preserve">Подзаголовок: </w:t>
      </w:r>
      <w:r>
        <w:rPr>
          <w:sz w:val="22"/>
        </w:rPr>
        <w:t>«ВОР и КСГ за минуты»</w:t>
      </w:r>
    </w:p>
    <w:p>
      <w:pPr>
        <w:pStyle w:val="ListBullet"/>
      </w:pPr>
      <w:r>
        <w:rPr>
          <w:b/>
          <w:sz w:val="22"/>
        </w:rPr>
        <w:t xml:space="preserve">Дополнительно: </w:t>
      </w:r>
      <w:r>
        <w:rPr>
          <w:sz w:val="22"/>
        </w:rPr>
        <w:t>«ИИ распознаёт PDF-документацию»</w:t>
      </w:r>
    </w:p>
    <w:p>
      <w:pPr>
        <w:pStyle w:val="ListBullet"/>
      </w:pPr>
      <w:r>
        <w:rPr>
          <w:b/>
          <w:sz w:val="22"/>
        </w:rPr>
        <w:t xml:space="preserve">CTA-кнопка: </w:t>
      </w:r>
      <w:r>
        <w:rPr>
          <w:sz w:val="22"/>
        </w:rPr>
        <w:t>«Получить демо»</w:t>
      </w:r>
    </w:p>
    <w:p>
      <w:pPr>
        <w:pStyle w:val="ListBullet"/>
      </w:pPr>
      <w:r>
        <w:rPr>
          <w:b/>
          <w:sz w:val="22"/>
        </w:rPr>
        <w:t xml:space="preserve">Логотип: </w:t>
      </w:r>
      <w:r>
        <w:rPr>
          <w:sz w:val="22"/>
        </w:rPr>
        <w:t>Gradenta</w:t>
      </w:r>
    </w:p>
    <w:p/>
    <w:p>
      <w:pPr>
        <w:pStyle w:val="Heading2"/>
      </w:pPr>
      <w:r>
        <w:rPr>
          <w:color w:val="10B981"/>
        </w:rPr>
        <w:t>Вариант Б (оба формата)</w:t>
      </w:r>
    </w:p>
    <w:p>
      <w:pPr>
        <w:pStyle w:val="ListBullet"/>
      </w:pPr>
      <w:r>
        <w:rPr>
          <w:b/>
          <w:sz w:val="22"/>
        </w:rPr>
        <w:t xml:space="preserve">Заголовок: </w:t>
      </w:r>
      <w:r>
        <w:rPr>
          <w:sz w:val="22"/>
        </w:rPr>
        <w:t>«ИИ для строительных подрядчиков»</w:t>
      </w:r>
    </w:p>
    <w:p>
      <w:pPr>
        <w:pStyle w:val="ListBullet"/>
      </w:pPr>
      <w:r>
        <w:rPr>
          <w:b/>
          <w:sz w:val="22"/>
        </w:rPr>
        <w:t xml:space="preserve">Подзаголовок: </w:t>
      </w:r>
      <w:r>
        <w:rPr>
          <w:sz w:val="22"/>
        </w:rPr>
        <w:t>«Старт за 1 рабочий день»</w:t>
      </w:r>
    </w:p>
    <w:p>
      <w:pPr>
        <w:pStyle w:val="ListBullet"/>
      </w:pPr>
      <w:r>
        <w:rPr>
          <w:b/>
          <w:sz w:val="22"/>
        </w:rPr>
        <w:t xml:space="preserve">Дополнительно: </w:t>
      </w:r>
      <w:r>
        <w:rPr>
          <w:sz w:val="22"/>
        </w:rPr>
        <w:t>«Партнёр PM Excellence»</w:t>
      </w:r>
    </w:p>
    <w:p>
      <w:pPr>
        <w:pStyle w:val="ListBullet"/>
      </w:pPr>
      <w:r>
        <w:rPr>
          <w:b/>
          <w:sz w:val="22"/>
        </w:rPr>
        <w:t xml:space="preserve">CTA-кнопка: </w:t>
      </w:r>
      <w:r>
        <w:rPr>
          <w:sz w:val="22"/>
        </w:rPr>
        <w:t>«Запросить демонстрацию»</w:t>
      </w:r>
    </w:p>
    <w:p>
      <w:pPr>
        <w:pStyle w:val="ListBullet"/>
      </w:pPr>
      <w:r>
        <w:rPr>
          <w:b/>
          <w:sz w:val="22"/>
        </w:rPr>
        <w:t xml:space="preserve">Логотип: </w:t>
      </w:r>
      <w:r>
        <w:rPr>
          <w:sz w:val="22"/>
        </w:rPr>
        <w:t>Gradenta</w:t>
      </w:r>
    </w:p>
    <w:p/>
    <w:p>
      <w:pPr>
        <w:pStyle w:val="Heading1"/>
      </w:pPr>
      <w:r>
        <w:rPr>
          <w:color w:val="10B981"/>
        </w:rPr>
        <w:t>Технические требования</w:t>
      </w:r>
    </w:p>
    <w:p>
      <w:pPr>
        <w:pStyle w:val="ListBullet"/>
      </w:pPr>
      <w:r>
        <w:rPr>
          <w:sz w:val="22"/>
        </w:rPr>
        <w:t>Формат файлов: PNG или JPG</w:t>
      </w:r>
    </w:p>
    <w:p>
      <w:pPr>
        <w:pStyle w:val="ListBullet"/>
      </w:pPr>
      <w:r>
        <w:rPr>
          <w:sz w:val="22"/>
        </w:rPr>
        <w:t>Макс. вес: 2 МБ</w:t>
      </w:r>
    </w:p>
    <w:p>
      <w:pPr>
        <w:pStyle w:val="ListBullet"/>
      </w:pPr>
      <w:r>
        <w:rPr>
          <w:sz w:val="22"/>
        </w:rPr>
        <w:t>CTA-кнопка крупная, хорошо читаемая</w:t>
      </w:r>
    </w:p>
    <w:p>
      <w:pPr>
        <w:pStyle w:val="ListBullet"/>
      </w:pPr>
      <w:r>
        <w:rPr>
          <w:sz w:val="22"/>
        </w:rPr>
        <w:t>Логотип в верхнем левом углу</w:t>
      </w:r>
    </w:p>
    <w:p/>
    <w:p>
      <w:r>
        <w:rPr>
          <w:b/>
          <w:sz w:val="22"/>
        </w:rPr>
        <w:t xml:space="preserve">Итого к сдаче: </w:t>
      </w:r>
      <w:r>
        <w:rPr>
          <w:sz w:val="22"/>
        </w:rPr>
        <w:t>4 баннера (2 варианта × 2 формата).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