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88888"/>
          <w:sz w:val="18"/>
        </w:rPr>
        <w:t>НОВОСТЬ ДЛЯ САЙТА</w:t>
      </w:r>
    </w:p>
    <w:p>
      <w:pPr>
        <w:pStyle w:val="Heading1"/>
      </w:pPr>
      <w:r>
        <w:rPr>
          <w:color w:val="1A1A2E"/>
          <w:sz w:val="36"/>
        </w:rPr>
        <w:t>Календарно-сетевое планирование: всё, что важно знать руководителю проекта</w:t>
      </w:r>
    </w:p>
    <w:p>
      <w:pPr>
        <w:spacing w:after="120"/>
      </w:pPr>
      <w:r>
        <w:t>Крупный инвестиционный проект невозможно контролировать на глаз. Сроки срываются не потому, что люди плохо работают, — а потому что проблемы становятся видны слишком поздно. Календарно-сетевое планирование решает именно эту задачу: даёт объективную картину происходящего и инструменты для принятия решений до того, как ситуация стала критической.</w:t>
      </w:r>
    </w:p>
    <w:p>
      <w:pPr>
        <w:spacing w:after="240"/>
      </w:pPr>
      <w:r>
        <w:t>Мы собрали все материалы PM Excellence по этой теме — от базовых принципов до практических методов диагностики.</w:t>
      </w:r>
    </w:p>
    <w:p>
      <w:pPr>
        <w:pStyle w:val="Heading2"/>
        <w:spacing w:before="280"/>
      </w:pPr>
      <w:r>
        <w:rPr>
          <w:color w:val="1A1A2E"/>
          <w:sz w:val="26"/>
        </w:rPr>
        <w:t>Зачем вообще нужна сетевая модель?</w:t>
      </w:r>
    </w:p>
    <w:p>
      <w:pPr>
        <w:spacing w:after="80"/>
      </w:pPr>
      <w:r>
        <w:t>Ответ простой: без неё невозможно честно видеть, что происходит с проектом. Роман Черемисин объясняет: модель автоматически считает сроки на основе логики работ, определяет критический путь и при любом изменении мгновенно пересчитывает весь проект. Это не про красивые графики — это про реальный контроль.</w:t>
      </w:r>
    </w:p>
    <w:p>
      <w:pPr>
        <w:spacing w:after="200"/>
      </w:pPr>
      <w:r>
        <w:t xml:space="preserve">→ </w:t>
      </w:r>
      <w:hyperlink r:id="rId9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Как читать состояние проекта: метод «Пилы»</w:t>
      </w:r>
    </w:p>
    <w:p>
      <w:pPr>
        <w:spacing w:after="80"/>
      </w:pPr>
      <w:r>
        <w:t>Александр Шатурный и Иван Пономарев предлагают простой диагностический инструмент — еженедельно фиксировать расчётную дату завершения и строить по ней линию. «Зубцы» вверх — накопление проблем, вниз — управленческое вмешательство. Занимает 15 минут. Идеально прямая линия чаще всего означает нечестный расчёт: живой проект всегда имеет динамику.</w:t>
      </w:r>
    </w:p>
    <w:p>
      <w:pPr>
        <w:spacing w:after="200"/>
      </w:pPr>
      <w:r>
        <w:t xml:space="preserve">→ </w:t>
      </w:r>
      <w:hyperlink r:id="rId10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Что делать, когда сроки заданы директивно</w:t>
      </w:r>
    </w:p>
    <w:p>
      <w:pPr>
        <w:spacing w:after="80"/>
      </w:pPr>
      <w:r>
        <w:t>Классическая методология строит план снизу вверх. Но что, если заказчик уже назвал дату? Роман Черемисин показывает: КСМ в таком случае работает как инструмент диагностики — выявляет узкие места и риски, не объявляя проект провальным. Алгоритм: найти критические цепочки → искать компенсирующие решения → только потом запрашивать изменение базового плана.</w:t>
      </w:r>
    </w:p>
    <w:p>
      <w:pPr>
        <w:spacing w:after="200"/>
      </w:pPr>
      <w:r>
        <w:t xml:space="preserve">→ </w:t>
      </w:r>
      <w:hyperlink r:id="rId11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Планирование как навигация: взгляд Александра Кутузова</w:t>
      </w:r>
    </w:p>
    <w:p>
      <w:pPr>
        <w:spacing w:after="80"/>
      </w:pPr>
      <w:r>
        <w:t>Старший вице-президент PM Excellence Александр Кутузов сравнивает управление мегапроектом с мореплаванием: нужна команда, которая смотрит на 3–12 месяцев вперёд и заранее закладывает корректировки на трёх горизонтах. Принцип простой: «если сомневаешься в опасности — предполагай, что она существует». Процент готовности часто манипулируется — доверяй узким местам, а не цифрам в отчёте.</w:t>
      </w:r>
    </w:p>
    <w:p>
      <w:pPr>
        <w:spacing w:after="200"/>
      </w:pPr>
      <w:r>
        <w:t xml:space="preserve">→ </w:t>
      </w:r>
      <w:hyperlink r:id="rId12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Типичные ошибки при внедрении КСП</w:t>
      </w:r>
    </w:p>
    <w:p>
      <w:pPr>
        <w:spacing w:after="80"/>
      </w:pPr>
      <w:r>
        <w:t>Роман Черемисин разбирает, почему хорошие инструменты не работают: КСМ внедряют ради внедрения, создают параллельную отчётность вместо замены существующей, детализируют до десятков тысяч операций, которые невозможно актуализировать. И главное — не готовятся к сопротивлению: реальный график показывает реальную ответственность, а это неудобно.</w:t>
      </w:r>
    </w:p>
    <w:p>
      <w:pPr>
        <w:spacing w:after="200"/>
      </w:pPr>
      <w:r>
        <w:t xml:space="preserve">→ </w:t>
      </w:r>
      <w:hyperlink r:id="rId13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Как оценить, работает ли планирование в компании</w:t>
      </w:r>
    </w:p>
    <w:p>
      <w:pPr>
        <w:spacing w:after="80"/>
      </w:pPr>
      <w:r>
        <w:t>Методика 14 DCMA популярна, но опытный планировщик за несколько часов сделает все «светофоры» зелёными, не улучшив сам проект. Черемисин предлагает другой подход: индивидуальные беседы с командой без предупреждения. Если люди знают, где критический путь и как он влияет на их решения — планирование работает.</w:t>
      </w:r>
    </w:p>
    <w:p>
      <w:pPr>
        <w:spacing w:after="200"/>
      </w:pPr>
      <w:r>
        <w:t xml:space="preserve">→ </w:t>
      </w:r>
      <w:hyperlink r:id="rId14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Можно ли увязать бюджет с графиком</w:t>
      </w:r>
    </w:p>
    <w:p>
      <w:pPr>
        <w:spacing w:after="80"/>
      </w:pPr>
      <w:r>
        <w:t>Теоретически — да, и PMBoK это требует. Практически — зависит от системы приёмки. Платёжные вехи реализуются легко. Приёмка по объёмам в строительстве сложнее: модель отстаёт от фактических актов. Главное условие — синхронизация между отделом планирования и финансовым блоком.</w:t>
      </w:r>
    </w:p>
    <w:p>
      <w:pPr>
        <w:spacing w:after="200"/>
      </w:pPr>
      <w:r>
        <w:t xml:space="preserve">→ </w:t>
      </w:r>
      <w:hyperlink r:id="rId15">
        <w:r>
          <w:rPr>
            <w:color w:val="1155CC"/>
            <w:u w:val="single"/>
          </w:rPr>
          <w:t>Читать статью</w:t>
        </w:r>
      </w:hyperlink>
    </w:p>
    <w:p/>
    <w:p>
      <w:pPr>
        <w:spacing w:after="120"/>
      </w:pPr>
      <w:r>
        <w:t>Все перечисленные материалы — часть большой библиотеки знаний PM Excellence. Мы регулярно публикуем практические статьи, разборы и методики от специалистов, которые работали с реальными мегапроектами в строительстве, горнодобыче и промышленности. Читайте, сохраняйте, задавайте вопросы — именно для этого мы здесь.</w:t>
      </w:r>
    </w:p>
    <w:p>
      <w:pPr>
        <w:spacing w:after="480"/>
      </w:pPr>
      <w:r>
        <w:t xml:space="preserve">→ Вся подборка по теме: </w:t>
      </w:r>
      <w:hyperlink r:id="rId16">
        <w:r>
          <w:rPr>
            <w:color w:val="1155CC"/>
            <w:u w:val="single"/>
          </w:rPr>
          <w:t>pmexcellence.com/news/article/all/kalendarno-setevoe-planirovanie/</w:t>
        </w:r>
      </w:hyperlink>
    </w:p>
    <w:p>
      <w:r>
        <w:br w:type="page"/>
      </w:r>
    </w:p>
    <w:p>
      <w:r>
        <w:rPr>
          <w:b/>
          <w:color w:val="888888"/>
          <w:sz w:val="18"/>
        </w:rPr>
        <w:t>ПОСТ ДЛЯ TELEGRAM</w:t>
      </w:r>
    </w:p>
    <w:p>
      <w:pPr>
        <w:spacing w:after="240"/>
      </w:pPr>
      <w:r>
        <w:t>Собрали все материалы PM Excellence о календарно-сетевом планировании в одном месте.</w:t>
        <w:br/>
        <w:br/>
        <w:t>Практика от людей, которые работали с реальными мегапроектами — без теории ради теории.</w:t>
      </w:r>
    </w:p>
    <w:p>
      <w:pPr>
        <w:pStyle w:val="ListBullet"/>
        <w:spacing w:after="80"/>
      </w:pPr>
      <w:hyperlink r:id="rId10">
        <w:r>
          <w:rPr>
            <w:color w:val="1155CC"/>
            <w:u w:val="single"/>
          </w:rPr>
          <w:t>Календарно-сетевой график как кардиограмма мегапроекта, или эффект «Пилы»</w:t>
        </w:r>
      </w:hyperlink>
    </w:p>
    <w:p>
      <w:pPr>
        <w:pStyle w:val="ListBullet"/>
        <w:spacing w:after="80"/>
      </w:pPr>
      <w:hyperlink r:id="rId11">
        <w:r>
          <w:rPr>
            <w:color w:val="1155CC"/>
            <w:u w:val="single"/>
          </w:rPr>
          <w:t>Как планировать проект при наличии директивных сроков</w:t>
        </w:r>
      </w:hyperlink>
    </w:p>
    <w:p>
      <w:pPr>
        <w:pStyle w:val="ListBullet"/>
        <w:spacing w:after="80"/>
      </w:pPr>
      <w:hyperlink r:id="rId9">
        <w:r>
          <w:rPr>
            <w:color w:val="1155CC"/>
            <w:u w:val="single"/>
          </w:rPr>
          <w:t>Что создаёт экономический эффект от применения календарно-сетевого моделирования</w:t>
        </w:r>
      </w:hyperlink>
    </w:p>
    <w:p>
      <w:pPr>
        <w:pStyle w:val="ListBullet"/>
        <w:spacing w:after="80"/>
      </w:pPr>
      <w:hyperlink r:id="rId15">
        <w:r>
          <w:rPr>
            <w:color w:val="1155CC"/>
            <w:u w:val="single"/>
          </w:rPr>
          <w:t>Можно ли прогнозировать затраты на основании календарно-сетевой модели?</w:t>
        </w:r>
      </w:hyperlink>
    </w:p>
    <w:p>
      <w:pPr>
        <w:pStyle w:val="ListBullet"/>
        <w:spacing w:after="80"/>
      </w:pPr>
      <w:hyperlink r:id="rId13">
        <w:r>
          <w:rPr>
            <w:color w:val="1155CC"/>
            <w:u w:val="single"/>
          </w:rPr>
          <w:t>Типичные ошибки и проблемы в практике применения КСП</w:t>
        </w:r>
      </w:hyperlink>
    </w:p>
    <w:p>
      <w:pPr>
        <w:pStyle w:val="ListBullet"/>
        <w:spacing w:after="80"/>
      </w:pPr>
      <w:hyperlink r:id="rId14">
        <w:r>
          <w:rPr>
            <w:color w:val="1155CC"/>
            <w:u w:val="single"/>
          </w:rPr>
          <w:t>Как оценить эффективность процесса КСП в компании</w:t>
        </w:r>
      </w:hyperlink>
    </w:p>
    <w:p>
      <w:pPr>
        <w:pStyle w:val="ListBullet"/>
        <w:spacing w:after="80"/>
      </w:pPr>
      <w:hyperlink r:id="rId12">
        <w:r>
          <w:rPr>
            <w:color w:val="1155CC"/>
            <w:u w:val="single"/>
          </w:rPr>
          <w:t>Календарно-сетевое планирование: уроки из мореплавания для мегапроектов</w:t>
        </w:r>
      </w:hyperlink>
    </w:p>
    <w:p>
      <w:pPr>
        <w:pStyle w:val="ListBullet"/>
        <w:spacing w:after="80"/>
      </w:pPr>
      <w:hyperlink r:id="rId17">
        <w:r>
          <w:rPr>
            <w:color w:val="1155CC"/>
            <w:u w:val="single"/>
          </w:rPr>
          <w:t>Календарно-сетевая модель и критические цепочки</w:t>
        </w:r>
      </w:hyperlink>
    </w:p>
    <w:p>
      <w:pPr>
        <w:pStyle w:val="ListBullet"/>
        <w:spacing w:after="80"/>
      </w:pPr>
      <w:hyperlink r:id="rId18">
        <w:r>
          <w:rPr>
            <w:color w:val="1155CC"/>
            <w:u w:val="single"/>
          </w:rPr>
          <w:t>В чём отличие календарно-сетевой модели от календарно-сетевого графика?</w:t>
        </w:r>
      </w:hyperlink>
    </w:p>
    <w:p>
      <w:pPr>
        <w:pStyle w:val="ListBullet"/>
        <w:spacing w:after="80"/>
      </w:pPr>
      <w:hyperlink r:id="rId19">
        <w:r>
          <w:rPr>
            <w:color w:val="1155CC"/>
            <w:u w:val="single"/>
          </w:rPr>
          <w:t>Минимизация поздних изменений в проектах химической отрасли</w:t>
        </w:r>
      </w:hyperlink>
    </w:p>
    <w:p>
      <w:pPr>
        <w:pStyle w:val="ListBullet"/>
        <w:spacing w:after="80"/>
      </w:pPr>
      <w:hyperlink r:id="rId20">
        <w:r>
          <w:rPr>
            <w:color w:val="1155CC"/>
            <w:u w:val="single"/>
          </w:rPr>
          <w:t>Значимость планирования и составления графиков для успеха проектов</w:t>
        </w:r>
      </w:hyperlink>
    </w:p>
    <w:p>
      <w:pPr>
        <w:pStyle w:val="ListBullet"/>
        <w:spacing w:after="80"/>
      </w:pPr>
      <w:hyperlink r:id="rId21">
        <w:r>
          <w:rPr>
            <w:color w:val="1155CC"/>
            <w:u w:val="single"/>
          </w:rPr>
          <w:t>Шаблоны в управлении проектами. Разведение и содержание в домашних условиях</w:t>
        </w:r>
      </w:hyperlink>
    </w:p>
    <w:p>
      <w:pPr>
        <w:pStyle w:val="ListBullet"/>
        <w:spacing w:after="80"/>
      </w:pPr>
      <w:hyperlink r:id="rId22">
        <w:r>
          <w:rPr>
            <w:color w:val="1155CC"/>
            <w:u w:val="single"/>
          </w:rPr>
          <w:t>О вехах. График вехой не испортишь</w:t>
        </w:r>
      </w:hyperlink>
    </w:p>
    <w:p>
      <w:pPr>
        <w:pStyle w:val="ListBullet"/>
        <w:spacing w:after="80"/>
      </w:pPr>
      <w:hyperlink r:id="rId23">
        <w:r>
          <w:rPr>
            <w:color w:val="1155CC"/>
            <w:u w:val="single"/>
          </w:rPr>
          <w:t>PM Check-Up проекта — необходимость или пустая трата времени и денег?</w:t>
        </w:r>
      </w:hyperlink>
    </w:p>
    <w:p>
      <w:pPr>
        <w:spacing w:before="280" w:after="0"/>
      </w:pPr>
      <w:r>
        <w:rPr>
          <w:sz w:val="22"/>
        </w:rPr>
        <w:t xml:space="preserve">Все статьи читайте на сайте </w:t>
      </w:r>
      <w:hyperlink r:id="rId16">
        <w:r>
          <w:rPr>
            <w:color w:val="1155CC"/>
            <w:u w:val="single"/>
          </w:rPr>
          <w:t>pmexcellence.com</w:t>
        </w:r>
      </w:hyperlink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excellence.com/news/article/chto-sozdaet-ekonomicheskiy-effekt-ot-primeneniya-kalendarno-setevogo-modelirovaniya/" TargetMode="External"/><Relationship Id="rId10" Type="http://schemas.openxmlformats.org/officeDocument/2006/relationships/hyperlink" Target="https://pmexcellence.com/news/article/kalendarno-setevoy-grafik-kak-kardiogramma-megaproekta-ili-effekt-pily/" TargetMode="External"/><Relationship Id="rId11" Type="http://schemas.openxmlformats.org/officeDocument/2006/relationships/hyperlink" Target="https://pmexcellence.com/news/article/kak-planirovat-proekt-pri-nalichii-direktivnykh-srokov/" TargetMode="External"/><Relationship Id="rId12" Type="http://schemas.openxmlformats.org/officeDocument/2006/relationships/hyperlink" Target="https://pmexcellence.com/news/article/kalendarno-setevoe-planirovanie-uroki-iz-moreplavaniya-dlya-megaproektov/" TargetMode="External"/><Relationship Id="rId13" Type="http://schemas.openxmlformats.org/officeDocument/2006/relationships/hyperlink" Target="https://pmexcellence.com/news/article/tipichnye-oshibki-i-problemy-v-praktike-primeneniya-kalendarno-setevogo-planirovaniya/" TargetMode="External"/><Relationship Id="rId14" Type="http://schemas.openxmlformats.org/officeDocument/2006/relationships/hyperlink" Target="https://pmexcellence.com/news/article/o-kriteriyakh-kachestva-kalendarno-setevykch-modeley-i-metodike-14-dcma/" TargetMode="External"/><Relationship Id="rId15" Type="http://schemas.openxmlformats.org/officeDocument/2006/relationships/hyperlink" Target="https://pmexcellence.com/news/article/mozhno-li-prognozirovat-zatraty-na-osnovanii-kalendarno-setevoy-modeli/" TargetMode="External"/><Relationship Id="rId16" Type="http://schemas.openxmlformats.org/officeDocument/2006/relationships/hyperlink" Target="https://pmexcellence.com/news/article/all/kalendarno-setevoe-planirovanie/" TargetMode="External"/><Relationship Id="rId17" Type="http://schemas.openxmlformats.org/officeDocument/2006/relationships/hyperlink" Target="https://pmexcellence.com/news/article/kalendarno-setevaya-model-i-kriticheskie-tsepochki/" TargetMode="External"/><Relationship Id="rId18" Type="http://schemas.openxmlformats.org/officeDocument/2006/relationships/hyperlink" Target="https://pmexcellence.com/news/article/v-chem-otlichie-kalendarno-setevoy-modeli-ot-kalendarno-setevogo-grafika/" TargetMode="External"/><Relationship Id="rId19" Type="http://schemas.openxmlformats.org/officeDocument/2006/relationships/hyperlink" Target="https://pmexcellence.com/news/article/minimizatsiya-pozdnikh-izmeneniy-v-proektakh-khimicheskoy-otrasli/" TargetMode="External"/><Relationship Id="rId20" Type="http://schemas.openxmlformats.org/officeDocument/2006/relationships/hyperlink" Target="https://pmexcellence.com/news/article/znachimost-planirovaniya-i-sostavleniya-grafikov-dlya-uspekha-proektov/" TargetMode="External"/><Relationship Id="rId21" Type="http://schemas.openxmlformats.org/officeDocument/2006/relationships/hyperlink" Target="https://pmexcellence.com/news/article/shablony-v-upravlenii-proektami-razvedenie-i-soderzhanie-v-domashnikh-usloviyakh/" TargetMode="External"/><Relationship Id="rId22" Type="http://schemas.openxmlformats.org/officeDocument/2006/relationships/hyperlink" Target="https://pmexcellence.com/news/article/o-vekhakh-grafik-vekhoy-ne-isportish/" TargetMode="External"/><Relationship Id="rId23" Type="http://schemas.openxmlformats.org/officeDocument/2006/relationships/hyperlink" Target="https://pmexcellence.com/news/article/pm-check-up-proekta-neobkhodimost-ili-pustaya-trata-vremeni-i-dene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