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Мегапроекты: что это такое, как ими управлять и почему обычные методы не работают</w:t>
      </w:r>
    </w:p>
    <w:p>
      <w:pPr>
        <w:spacing w:after="120"/>
      </w:pPr>
      <w:r>
        <w:t>В России сегодня более 250 мегапроектов. Бюджет от 100 млрд рублей, длительность от трёх лет, тысячи операций в сетевой модели и потери от задержки свыше 50 млн рублей в день — это не просто «большой проект». Это другой уровень сложности, требующий принципиально иного качества управления.</w:t>
      </w:r>
    </w:p>
    <w:p>
      <w:pPr>
        <w:spacing w:after="120"/>
      </w:pPr>
      <w:r>
        <w:t>Эксперты PM Excellence написали об этом пять материалов — от определения мегапроекта до конкретных инструментов управления приоритетами и автоматизации. Собрали всё в одном месте.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Мегапроект в России — больше, чем большой проект?</w:t>
      </w:r>
    </w:p>
    <w:p>
      <w:pPr>
        <w:spacing w:after="80"/>
      </w:pPr>
      <w:r>
        <w:t>Александр Кутузов, старший вице-президент PM Excellence, даёт чёткое определение: мегапроект — это не просто масштаб, а иное качество управления. Восемь критериев: бюджет от 100+ млрд рублей, длительность более 3 лет, 100+ тыс. работ в сетевой модели, команда более 100 человек. Достаточно четырёх из восьми. В 2023 году таких проектов в России насчитывалось более 250.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Метод «Золотой гвоздь»: фиксированная веха как инструмент управления приоритетами</w:t>
      </w:r>
    </w:p>
    <w:p>
      <w:pPr>
        <w:spacing w:after="80"/>
      </w:pPr>
      <w:r>
        <w:t>Александр Шатурный описывает метод, который помог сократить отставание на 150+ дней на строительстве месторождения «Таас-Юрях». Суть: конечная дата проекта фиксируется как неизменный ориентир, создавая «управляемый конфликт» с отрицательными резервами по критическим работам. Это позволяет ранжировать задачи по реальной приоритетности и концентрировать ресурсы там, где это действительно влияет на срок.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PMC-подрядчик в российских мегапроектах: зачем привлекать</w:t>
      </w:r>
    </w:p>
    <w:p>
      <w:pPr>
        <w:spacing w:after="80"/>
      </w:pPr>
      <w:r>
        <w:t>Павел Лаврентьев отвечает на вопрос, который задаёт каждый заказчик: зачем платить внешней команде, если есть своя? Ответ: на мегапроекте один день задержки стоит десятки миллионов — стоимость PMC несопоставимо меньше. Внешний подрядчик не аффилирован ни с одной из сторон, честно докладывает о рисках и снимает пиковую нагрузку с внутренних команд.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Управление мегапроектами: пути автоматизации</w:t>
      </w:r>
    </w:p>
    <w:p>
      <w:pPr>
        <w:spacing w:after="80"/>
      </w:pPr>
      <w:r>
        <w:t>Иван Смирнов о том, почему Excel убивает мегапроект: ошибки в таблицах каскадируются, ручная аналитика отстаёт от реальности, прогнозы появляются с опозданием. Автоматизация снижает трудоёмкость, убирает человеческий фактор из расчётов и даёт оперативную аналитику для принятия решений. PM Excellence использует собственный инструментарий Periscope — управление рисками, контроль сроков, интеграция со сметными системами.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Об интеллект-картах и мегапроектах</w:t>
      </w:r>
    </w:p>
    <w:p>
      <w:pPr>
        <w:spacing w:after="80"/>
      </w:pPr>
      <w:r>
        <w:t>Евгений Пикулев показывает нестандартный инструмент для мегапроектов: интеллект-карты как способ создать единую визуальную модель проекта в формате one-page. Помогают структурировать иерархию работ, рисков и ресурсов, проводить мозговые штурмы и фиксировать уроки. Связка MindManager — MS Project превращает планирование в коллективный процесс.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написаны экспертами PM Excellence на основе реальной практики управления мегапроектами в строительстве, горнодобыче, нефтегазе и промышленности.</w:t>
      </w:r>
    </w:p>
    <w:p>
      <w:pPr>
        <w:spacing w:after="480"/>
      </w:pPr>
      <w:r>
        <w:t xml:space="preserve">→ Вся подборка по теме: </w:t>
      </w:r>
      <w:hyperlink r:id="rId14">
        <w:r>
          <w:rPr>
            <w:color w:val="1155CC"/>
            <w:u w:val="single"/>
          </w:rPr>
          <w:t>pmexcellence.com/news/article/all/megaproekty/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В России сегодня более 250 мегапроектов.</w:t>
        <w:br/>
        <w:br/>
        <w:t>Это не просто «большой проект» — это другой уровень сложности, где один день задержки стоит десятки миллионов рублей.</w:t>
        <w:br/>
        <w:br/>
        <w:t>Собрали все материалы PM Excellence о мегапроектах: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Мегапроект в России — больше, чем большой проект?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Метод «Золотой гвоздь»: фиксированная веха как инструмент управления приоритетами в мегапроекте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PMC-подрядчик в российских крупных и мегапроектах. Обоснование привлечения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Управление крупными и мегапроектами. Пути автоматизации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Об интеллект-картах и мегапроектах</w:t>
        </w:r>
      </w:hyperlink>
    </w:p>
    <w:p>
      <w:pPr>
        <w:spacing w:before="280"/>
      </w:pPr>
      <w:r>
        <w:t xml:space="preserve">Все статьи читайте на сайте </w:t>
      </w:r>
      <w:hyperlink r:id="rId14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megaproekt-v-rossii-bolshe-chem-bolshoy-proekt-s/" TargetMode="External"/><Relationship Id="rId10" Type="http://schemas.openxmlformats.org/officeDocument/2006/relationships/hyperlink" Target="https://pmexcellence.com/news/article/metod-zolotoy-gvozd-fiksirovannaya-vekha-kak-instrument-upravleniya-prioritetami-v-megaproekte/" TargetMode="External"/><Relationship Id="rId11" Type="http://schemas.openxmlformats.org/officeDocument/2006/relationships/hyperlink" Target="https://pmexcellence.com/news/article/pmc-podryadchik-v-rossiyskikh-krupnykh-i-megaproektakh-obosnovanie-privlecheniya/" TargetMode="External"/><Relationship Id="rId12" Type="http://schemas.openxmlformats.org/officeDocument/2006/relationships/hyperlink" Target="https://pmexcellence.com/news/article/upravlenie-krupnymi-i-megaproektami-puti-avtomatizatsii/" TargetMode="External"/><Relationship Id="rId13" Type="http://schemas.openxmlformats.org/officeDocument/2006/relationships/hyperlink" Target="https://pmexcellence.com/news/article/ob-intellekt-kartakh-i-megaproektakh/" TargetMode="External"/><Relationship Id="rId14" Type="http://schemas.openxmlformats.org/officeDocument/2006/relationships/hyperlink" Target="https://pmexcellence.com/news/article/all/megaproek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