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888888"/>
          <w:sz w:val="18"/>
        </w:rPr>
        <w:t>НОВОСТЬ ДЛЯ САЙТА</w:t>
      </w:r>
    </w:p>
    <w:p>
      <w:pPr>
        <w:pStyle w:val="Heading1"/>
      </w:pPr>
      <w:r>
        <w:rPr>
          <w:color w:val="1A1A2E"/>
          <w:sz w:val="36"/>
        </w:rPr>
        <w:t>Общие вопросы управления проектами: почему проекты проваливаются и как этого не допустить</w:t>
      </w:r>
    </w:p>
    <w:p>
      <w:pPr>
        <w:spacing w:after="120"/>
      </w:pPr>
      <w:r>
        <w:t>По данным PMI, только 48% проектов признаются успешными. Ещё 40% находятся в зоне неопределённости, а 12% откровенно проваливаются. При этом причины почти всегда одни и те же: размытые цели, система отчётности, которая приучает ко лжи, решения, принятые слишком поздно, и интеграция, которой никто не занимается.</w:t>
      </w:r>
    </w:p>
    <w:p>
      <w:pPr>
        <w:spacing w:after="120"/>
      </w:pPr>
      <w:r>
        <w:t>PM Excellence собрала 24 материала по общим вопросам управления проектами — от диагностики системных сбоев до конкретных инструментов, которые работают. Это не теория: каждая статья написана практиками с опытом реальных мегапроектов.</w:t>
      </w:r>
    </w:p>
    <w:p>
      <w:pPr>
        <w:spacing w:after="80"/>
      </w:pPr>
    </w:p>
    <w:p>
      <w:pPr>
        <w:pStyle w:val="Heading2"/>
        <w:spacing w:before="280"/>
      </w:pPr>
      <w:r>
        <w:rPr>
          <w:color w:val="1A1A2E"/>
          <w:sz w:val="26"/>
        </w:rPr>
        <w:t>Крупный проект похож на большой корабль — он так же инертен и неповоротлив</w:t>
      </w:r>
    </w:p>
    <w:p>
      <w:pPr>
        <w:spacing w:after="80"/>
      </w:pPr>
      <w:r>
        <w:t>Интервью Александра Кутузова, старшего вице-президента PM Excellence, для «Ведомостей». Главный вызов российского проектного управления — кадры: острая нехватка руководителей, способных управлять людьми и ресурсами одновременно. Программное обеспечение — не решение: «главное в проектах — люди». Типичная патология: руководитель несёт ответственность, но не имеет полномочий.</w:t>
      </w:r>
    </w:p>
    <w:p>
      <w:pPr>
        <w:spacing w:after="200"/>
      </w:pPr>
      <w:r>
        <w:t xml:space="preserve">→ </w:t>
      </w:r>
      <w:hyperlink r:id="rId9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Нечёткая цель проекта — гарантия провала</w:t>
      </w:r>
    </w:p>
    <w:p>
      <w:pPr>
        <w:spacing w:after="80"/>
      </w:pPr>
      <w:r>
        <w:t>Александр Кочетов объясняет, почему размытые цели разрушают проект на всех уровнях сразу: бюджет считается «примерно», команда расставляет приоритеты по-своему, заказчик остаётся недоволен — хотя формально всё сделано. Без чётких измеримых критериев успеха ни один инструмент управления проектом не работает.</w:t>
      </w:r>
    </w:p>
    <w:p>
      <w:pPr>
        <w:spacing w:after="200"/>
      </w:pPr>
      <w:r>
        <w:t xml:space="preserve">→ </w:t>
      </w:r>
      <w:hyperlink r:id="rId10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Интеграция — основная задача управления проектами</w:t>
      </w:r>
    </w:p>
    <w:p>
      <w:pPr>
        <w:spacing w:after="80"/>
      </w:pPr>
      <w:r>
        <w:t>Когда каждое функциональное направление оптимизирует свой критический путь, проект срывается — даже если каждый отдел выполняет план. Александр Кочетов разбирает реальный кейс: строительство наращивало физобъёмы второй очереди, пока деликатная работа первой очереди стояла. Решение: единый критический путь и ЦОРП как механизм координации.</w:t>
      </w:r>
    </w:p>
    <w:p>
      <w:pPr>
        <w:spacing w:after="200"/>
      </w:pPr>
      <w:r>
        <w:t xml:space="preserve">→ </w:t>
      </w:r>
      <w:hyperlink r:id="rId11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Оценка статуса «по валу» — как начальники приучают себя ко лжи</w:t>
      </w:r>
    </w:p>
    <w:p>
      <w:pPr>
        <w:spacing w:after="80"/>
      </w:pPr>
      <w:r>
        <w:t>Руководитель докладывает «87% готовности» — и все успокаиваются. Александр Кочетов объясняет, почему эта цифра ничего не значит без КСМ: в «остатках» могут скрываться самые сложные работы. Система, где плохие новости опасны для докладчика, производит только красивые отчёты и неуправляемые финалы.</w:t>
      </w:r>
    </w:p>
    <w:p>
      <w:pPr>
        <w:spacing w:after="200"/>
      </w:pPr>
      <w:r>
        <w:t xml:space="preserve">→ </w:t>
      </w:r>
      <w:hyperlink r:id="rId12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Без иллюзий: зачем мегапроектам нужна зрелая аналитика</w:t>
      </w:r>
    </w:p>
    <w:p>
      <w:pPr>
        <w:spacing w:after="80"/>
      </w:pPr>
      <w:r>
        <w:t>Арсен Заргарян о парадоксе прозрачности: избыточный доступ к данным провоцирует конфликты, но их отсутствие делает управление слепым. Завышенные обещания сроков и заниженные сметы на старте подрывают фундамент проекта. Честный анализ работает только в среде, где он воспринимается как ресурс, а не угроза.</w:t>
      </w:r>
    </w:p>
    <w:p>
      <w:pPr>
        <w:spacing w:after="200"/>
      </w:pPr>
      <w:r>
        <w:t xml:space="preserve">→ </w:t>
      </w:r>
      <w:hyperlink r:id="rId13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Эффект «Цунами»: почему гибнет даже идеальный план</w:t>
      </w:r>
    </w:p>
    <w:p>
      <w:pPr>
        <w:spacing w:after="80"/>
      </w:pPr>
      <w:r>
        <w:t>Александр Шатурный описывает механизм накопления скрытых проблем: волна нарастает вне видимости команды — в процессах поставщиков и субподрядчиков. К финальному этапу она обрушивается как цунами невыполненных задач. Три стадии развития и комплекс мер: доконтрактный аудит, постоянный мониторинг, быстрое реагирование на критичные сигналы.</w:t>
      </w:r>
    </w:p>
    <w:p>
      <w:pPr>
        <w:spacing w:after="200"/>
      </w:pPr>
      <w:r>
        <w:t xml:space="preserve">→ </w:t>
      </w:r>
      <w:hyperlink r:id="rId14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«А ты купи слона»: как снабжение первым замечает потерю управления</w:t>
      </w:r>
    </w:p>
    <w:p>
      <w:pPr>
        <w:spacing w:after="80"/>
      </w:pPr>
      <w:r>
        <w:t>Критический путь проекта часто проходит не через стройплощадку, а через заводы-изготовители — вне прямого контроля команды. Александр Шатурный показывает: объекты останавливаются не из-за крупного оборудования, а из-за «нетранзитных позиций» — переходников и уплотнений стоимостью в копейки. Снабжение — система раннего обнаружения кризиса.</w:t>
      </w:r>
    </w:p>
    <w:p>
      <w:pPr>
        <w:spacing w:after="200"/>
      </w:pPr>
      <w:r>
        <w:t xml:space="preserve">→ </w:t>
      </w:r>
      <w:hyperlink r:id="rId15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Как гарантированно похоронить любой проект, соблюдая все регламенты</w:t>
      </w:r>
    </w:p>
    <w:p>
      <w:pPr>
        <w:spacing w:after="80"/>
      </w:pPr>
      <w:r>
        <w:t>Сатирический разбор Александра Шатурного: централизация до паралича, вытеснение профессионалов нереалистичными KPI, закупки только по минимальной цене и система, где плохие новости наказываются. Каждый пункт — узнаваемая патология реальных проектов. Инструкция написана от противного, но читается как диагностический чек-лист.</w:t>
      </w:r>
    </w:p>
    <w:p>
      <w:pPr>
        <w:spacing w:after="200"/>
      </w:pPr>
      <w:r>
        <w:t xml:space="preserve">→ </w:t>
      </w:r>
      <w:hyperlink r:id="rId16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Руководство: как не дать проекту воскреснуть (часть 2)</w:t>
      </w:r>
    </w:p>
    <w:p>
      <w:pPr>
        <w:spacing w:after="80"/>
      </w:pPr>
      <w:r>
        <w:t>Продолжение серии Александра Шатурного о патологиях управления: нереальные сроки как готовое алиби, «эффект витрины» когда один показательный участок подменяет реальное состояние проекта, IT-платформы вместо фактических поставок и многочасовые совещания по всем направлениям сразу — как форма управляемого умиротворения.</w:t>
      </w:r>
    </w:p>
    <w:p>
      <w:pPr>
        <w:spacing w:after="200"/>
      </w:pPr>
      <w:r>
        <w:t xml:space="preserve">→ </w:t>
      </w:r>
      <w:hyperlink r:id="rId17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Тоталитарное управление проектами: феномен «монстра Франкенштейна»</w:t>
      </w:r>
    </w:p>
    <w:p>
      <w:pPr>
        <w:spacing w:after="80"/>
      </w:pPr>
      <w:r>
        <w:t>Александр Шатурный о модели, которая объединяет различные методологии в единую систему с централизованным контролем. Эффект достигается активацией «скрытых резервов» — невостребованного человеческого потенциала. Рекомендация: сочетать дисциплину классического управления, гибкость Agile и стратегическое видение.</w:t>
      </w:r>
    </w:p>
    <w:p>
      <w:pPr>
        <w:spacing w:after="200"/>
      </w:pPr>
      <w:r>
        <w:t xml:space="preserve">→ </w:t>
      </w:r>
      <w:hyperlink r:id="rId18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Тёмная сторона проектного треугольника: глупость, алчность и безответственность</w:t>
      </w:r>
    </w:p>
    <w:p>
      <w:pPr>
        <w:spacing w:after="80"/>
      </w:pPr>
      <w:r>
        <w:t>Три фактора, которые разрушают проект изнутри: некомпетентность, личный интерес и отсутствие ответственности. Александр Шатурный показывает, как они образуют систему: слабость в одной области запускает цепную реакцию в остальных. Противодействие — через отбор, обучение, прозрачность и личный пример лидера.</w:t>
      </w:r>
    </w:p>
    <w:p>
      <w:pPr>
        <w:spacing w:after="200"/>
      </w:pPr>
      <w:r>
        <w:t xml:space="preserve">→ </w:t>
      </w:r>
      <w:hyperlink r:id="rId19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Управление изменениями — важнейшее требование к управлению проектом</w:t>
      </w:r>
    </w:p>
    <w:p>
      <w:pPr>
        <w:spacing w:after="80"/>
      </w:pPr>
      <w:r>
        <w:t>Изменения сопровождают любой проект с первого дня. Но компании либо игнорируют разработанные методологии, либо превращают их в формальность. Александр Кочетов о двух главных патологиях: культура замалчивания проблем и чрезмерная централизация согласований. Решение — чёткое распределение полномочий на каждом уровне.</w:t>
      </w:r>
    </w:p>
    <w:p>
      <w:pPr>
        <w:spacing w:after="200"/>
      </w:pPr>
      <w:r>
        <w:t xml:space="preserve">→ </w:t>
      </w:r>
      <w:hyperlink r:id="rId20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Протокол в управлении проектами — бюрократизм или необходимость?</w:t>
      </w:r>
    </w:p>
    <w:p>
      <w:pPr>
        <w:spacing w:after="80"/>
      </w:pPr>
      <w:r>
        <w:t>На вопрос «какие поручения вы получили на совещании» участники дают разные ответы — каждый интерпретирует услышанное по-своему. Александр Кочетов о том, как правильный протокол предотвращает конфликты: конкретные формулировки, ответственные, сроки. Абстрактное «обеспечить» и «ускорить» делают документ бесполезным.</w:t>
      </w:r>
    </w:p>
    <w:p>
      <w:pPr>
        <w:spacing w:after="200"/>
      </w:pPr>
      <w:r>
        <w:t xml:space="preserve">→ </w:t>
      </w:r>
      <w:hyperlink r:id="rId21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Откуда берутся многочасовые совещания на 50 человек</w:t>
      </w:r>
    </w:p>
    <w:p>
      <w:pPr>
        <w:spacing w:after="80"/>
      </w:pPr>
      <w:r>
        <w:t>Массовые сборы — примитивный способ интеграции информации, когда нормального процесса нет. Александр Кочетов объясняет парадокс: сотрудники ругают такие совещания, но приходят — потому что других способов понять, что делают коллеги, не существует. Правильное применение совещаний: уведомления, обратная связь, срочные решения — не мониторинг статуса.</w:t>
      </w:r>
    </w:p>
    <w:p>
      <w:pPr>
        <w:spacing w:after="200"/>
      </w:pPr>
      <w:r>
        <w:t xml:space="preserve">→ </w:t>
      </w:r>
      <w:hyperlink r:id="rId22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Тот, кто не готов меняться, не достигнет успеха</w:t>
      </w:r>
    </w:p>
    <w:p>
      <w:pPr>
        <w:spacing w:after="80"/>
      </w:pPr>
      <w:r>
        <w:t>Александр Кочетов о трансформации, которая необходима для внедрения проектного управления: переход от функциональных к матричным структурам, переориентация процедур на результат проекта, связка вознаграждения с достижениями — не с должностью. Изменения должны быть комплексными и постепенными одновременно.</w:t>
      </w:r>
    </w:p>
    <w:p>
      <w:pPr>
        <w:spacing w:after="200"/>
      </w:pPr>
      <w:r>
        <w:t xml:space="preserve">→ </w:t>
      </w:r>
      <w:hyperlink r:id="rId23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Управление программой проектов: можно без приоритетов?</w:t>
      </w:r>
    </w:p>
    <w:p>
      <w:pPr>
        <w:spacing w:after="80"/>
      </w:pPr>
      <w:r>
        <w:t>Даже когда нужно выполнить программу на 100%, приоритеты всё равно необходимы — для операционных решений при сдвигах. Владимир Баранов предлагает математический подход: интегральный показатель критичности, учитывающий влияние на месячный план, годовой и общий дедлайн. Цель — достичь финальной точки с максимальным процентом выполнения.</w:t>
      </w:r>
    </w:p>
    <w:p>
      <w:pPr>
        <w:spacing w:after="200"/>
      </w:pPr>
      <w:r>
        <w:t xml:space="preserve">→ </w:t>
      </w:r>
      <w:hyperlink r:id="rId24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Как снизить инвестиционные риски в условиях неопределённости</w:t>
      </w:r>
    </w:p>
    <w:p>
      <w:pPr>
        <w:spacing w:after="80"/>
      </w:pPr>
      <w:r>
        <w:t>Роман Черемисин описывает гейтовую модель: переход между этапами только после выполнения условий и пересчёта экономики. Четыре фазы — Оценка (1–2% бюджета), Выбор (1–3%), Определение (3–10%), Реализация (~90%) — позволяют минимизировать вложения на ранних высокорисковых стадиях. «Холодный взгляд» независимого эксперта исключает искажения от оператора.</w:t>
      </w:r>
    </w:p>
    <w:p>
      <w:pPr>
        <w:spacing w:after="200"/>
      </w:pPr>
      <w:r>
        <w:t xml:space="preserve">→ </w:t>
      </w:r>
      <w:hyperlink r:id="rId25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«Как обманывают в крупных проектах»</w:t>
      </w:r>
    </w:p>
    <w:p>
      <w:pPr>
        <w:spacing w:after="80"/>
      </w:pPr>
      <w:r>
        <w:t>Роман Черемисин через сатирический сценарий показывает классическую схему: инвестору обещают $2 млн вложений и $5 млн дохода — в итоге $15 млн затрат и $10 млн потерь за десять лет. Оператор занят, доволен и при деньгах. Защита: независимые экспертизы перед каждым траншем, PMC-контракторы и гейтовая модель с пересчётом экономики.</w:t>
      </w:r>
    </w:p>
    <w:p>
      <w:pPr>
        <w:spacing w:after="200"/>
      </w:pPr>
      <w:r>
        <w:t xml:space="preserve">→ </w:t>
      </w:r>
      <w:hyperlink r:id="rId26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PM GATE — новый стандарт управления программами PM Excellence</w:t>
      </w:r>
    </w:p>
    <w:p>
      <w:pPr>
        <w:spacing w:after="80"/>
      </w:pPr>
      <w:r>
        <w:t>Стандарт для крупных и мегапроектов в нефтегазе, инфраструктуре и энергетике: 6 этапов, гейтовый подход, управление выгодами на протяжении всего жизненного цикла. Авторская новелла — ступенчатый переход между этапами через промежуточные гейты, позволяющий начинать следующий этап до получения полной документации.</w:t>
      </w:r>
    </w:p>
    <w:p>
      <w:pPr>
        <w:spacing w:after="200"/>
      </w:pPr>
      <w:r>
        <w:t xml:space="preserve">→ </w:t>
      </w:r>
      <w:hyperlink r:id="rId27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Эмерджентность проекта? Не слышали!</w:t>
      </w:r>
    </w:p>
    <w:p>
      <w:pPr>
        <w:spacing w:after="80"/>
      </w:pPr>
      <w:r>
        <w:t>Евгений Пикулев о системном подходе PMBOK 7-го издания: проект — не сумма задач, а система с качественно новыми свойствами целого. Практические следствия: автономное управление структурой, простые модели для понимания динамики, иерархия систем «портфель → программа → мегапроект → проект». Игнорирование эмерджентности — причина, почему оптимизация частей не оптимизирует целое.</w:t>
      </w:r>
    </w:p>
    <w:p>
      <w:pPr>
        <w:spacing w:after="200"/>
      </w:pPr>
      <w:r>
        <w:t xml:space="preserve">→ </w:t>
      </w:r>
      <w:hyperlink r:id="rId28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Уход Oracle и Microsoft из России — что изменилось?</w:t>
      </w:r>
    </w:p>
    <w:p>
      <w:pPr>
        <w:spacing w:after="80"/>
      </w:pPr>
      <w:r>
        <w:t>Роман Черемисин успокаивает: большинство компаний продолжают работать в Primavera и MS Project через неофициальные каналы. Данные хранятся локально — особых рисков нет. Два реальных последствия: отсутствие техподдержки и обновлений. Но функциональные изменения в этих программах были минимальными — старые версии вполне работоспособны.</w:t>
      </w:r>
    </w:p>
    <w:p>
      <w:pPr>
        <w:spacing w:after="200"/>
      </w:pPr>
      <w:r>
        <w:t xml:space="preserve">→ </w:t>
      </w:r>
      <w:hyperlink r:id="rId29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К вопросу о правовых нюансах использования ИИ при управлении мегапроектами</w:t>
      </w:r>
    </w:p>
    <w:p>
      <w:pPr>
        <w:spacing w:after="80"/>
      </w:pPr>
      <w:r>
        <w:t>Андрей Свинарь разбирает три правовых вызова ИИ в проектном управлении: защита данных по 152-ФЗ, распределение ответственности когда решение принял алгоритм, и требование прозрачности для критических решений — выбора подрядчиков, финансовых инвестиций, формирования графика. Контракты должны предотвращать алгоритмическую дискриминацию.</w:t>
      </w:r>
    </w:p>
    <w:p>
      <w:pPr>
        <w:spacing w:after="200"/>
      </w:pPr>
      <w:r>
        <w:t xml:space="preserve">→ </w:t>
      </w:r>
      <w:hyperlink r:id="rId30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Мегапроекты нефтегазовой отрасли России</w:t>
      </w:r>
    </w:p>
    <w:p>
      <w:pPr>
        <w:spacing w:after="80"/>
      </w:pPr>
      <w:r>
        <w:t>Александр Шатурный, Никита Кутузов и Даниил Гончарук о стратегии: переориентация на восточные рынки и Арктику, газохимические кластеры с высокой добавленной стоимостью (Усть-Луга, гелиевый завод ИНК), «Арктик СПГ-2» и «Восток Ойл» как инструменты круглогодичного экспорта по Северному морскому пути. Каждый проект — тысячи рабочих мест и драйвер регионального бюджета.</w:t>
      </w:r>
    </w:p>
    <w:p>
      <w:pPr>
        <w:spacing w:after="200"/>
      </w:pPr>
      <w:r>
        <w:t xml:space="preserve">→ </w:t>
      </w:r>
      <w:hyperlink r:id="rId31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Мегапроекты: Великий и могучий</w:t>
      </w:r>
    </w:p>
    <w:p>
      <w:pPr>
        <w:spacing w:after="80"/>
      </w:pPr>
      <w:r>
        <w:t>Евгений Пикулев переосмысляет русские пословицы как точные метафоры проектного управления: смена спонсоров, конфликты в командах, качество работ подрядчиков. Практический вывод: если язык руководителя проекта понятен подрядчику — тот начинает работать лучше. Разговор на одном языке — недооценённый инструмент управления.</w:t>
      </w:r>
    </w:p>
    <w:p>
      <w:pPr>
        <w:spacing w:after="200"/>
      </w:pPr>
      <w:r>
        <w:t xml:space="preserve">→ </w:t>
      </w:r>
      <w:hyperlink r:id="rId32">
        <w:r>
          <w:rPr>
            <w:color w:val="1155CC"/>
            <w:u w:val="single"/>
          </w:rPr>
          <w:t>Читать статью</w:t>
        </w:r>
      </w:hyperlink>
    </w:p>
    <w:p/>
    <w:p>
      <w:pPr>
        <w:spacing w:after="120"/>
      </w:pPr>
      <w:r>
        <w:t>Все материалы написаны практиками PM Excellence — специалистами, которые управляют крупными и мегапроектами в России ежедневно. Никакой академической теории: только то, что работает в реальности.</w:t>
      </w:r>
    </w:p>
    <w:p>
      <w:pPr>
        <w:spacing w:after="480"/>
      </w:pPr>
      <w:r>
        <w:t xml:space="preserve">→ Вся подборка по теме: </w:t>
      </w:r>
      <w:hyperlink r:id="rId33">
        <w:r>
          <w:rPr>
            <w:color w:val="1155CC"/>
            <w:u w:val="single"/>
          </w:rPr>
          <w:t>pmexcellence.com/news/article/all/obshchie-voprosy-upravleniya-proektami/</w:t>
        </w:r>
      </w:hyperlink>
    </w:p>
    <w:p>
      <w:r>
        <w:br w:type="page"/>
      </w:r>
    </w:p>
    <w:p>
      <w:r>
        <w:rPr>
          <w:b/>
          <w:color w:val="888888"/>
          <w:sz w:val="18"/>
        </w:rPr>
        <w:t>ПОСТ ДЛЯ TELEGRAM</w:t>
      </w:r>
    </w:p>
    <w:p>
      <w:pPr>
        <w:spacing w:after="240"/>
      </w:pPr>
      <w:r>
        <w:t>Только 48% проектов признаются успешными.</w:t>
        <w:br/>
        <w:br/>
        <w:t>Причины почти всегда одни: размытые цели, отчётность которая приучает ко лжи, решения принятые слишком поздно.</w:t>
        <w:br/>
        <w:br/>
        <w:t>PM Excellence собрала 24 материала по общим вопросам управления проектами — диагностика системных сбоев и инструменты, которые работают:</w:t>
      </w:r>
    </w:p>
    <w:p>
      <w:pPr>
        <w:pStyle w:val="ListBullet"/>
        <w:spacing w:after="80"/>
      </w:pPr>
      <w:hyperlink r:id="rId9">
        <w:r>
          <w:rPr>
            <w:color w:val="1155CC"/>
            <w:u w:val="single"/>
          </w:rPr>
          <w:t>Александр Кутузов: «Крупный проект похож на большой корабль. Он так же инертен и неповоротлив»</w:t>
        </w:r>
      </w:hyperlink>
    </w:p>
    <w:p>
      <w:pPr>
        <w:pStyle w:val="ListBullet"/>
        <w:spacing w:after="80"/>
      </w:pPr>
      <w:hyperlink r:id="rId10">
        <w:r>
          <w:rPr>
            <w:color w:val="1155CC"/>
            <w:u w:val="single"/>
          </w:rPr>
          <w:t>Нечеткая цель проекта — гарантия провала</w:t>
        </w:r>
      </w:hyperlink>
    </w:p>
    <w:p>
      <w:pPr>
        <w:pStyle w:val="ListBullet"/>
        <w:spacing w:after="80"/>
      </w:pPr>
      <w:hyperlink r:id="rId11">
        <w:r>
          <w:rPr>
            <w:color w:val="1155CC"/>
            <w:u w:val="single"/>
          </w:rPr>
          <w:t>Интеграция — основная задача управления проектами</w:t>
        </w:r>
      </w:hyperlink>
    </w:p>
    <w:p>
      <w:pPr>
        <w:pStyle w:val="ListBullet"/>
        <w:spacing w:after="80"/>
      </w:pPr>
      <w:hyperlink r:id="rId12">
        <w:r>
          <w:rPr>
            <w:color w:val="1155CC"/>
            <w:u w:val="single"/>
          </w:rPr>
          <w:t>Оценка статуса «по валу» при управлении крупными проектами — как начальники приучают себя ко лжи</w:t>
        </w:r>
      </w:hyperlink>
    </w:p>
    <w:p>
      <w:pPr>
        <w:pStyle w:val="ListBullet"/>
        <w:spacing w:after="80"/>
      </w:pPr>
      <w:hyperlink r:id="rId13">
        <w:r>
          <w:rPr>
            <w:color w:val="1155CC"/>
            <w:u w:val="single"/>
          </w:rPr>
          <w:t>Без иллюзий: зачем мегапроектам нужна зрелая аналитика</w:t>
        </w:r>
      </w:hyperlink>
    </w:p>
    <w:p>
      <w:pPr>
        <w:pStyle w:val="ListBullet"/>
        <w:spacing w:after="80"/>
      </w:pPr>
      <w:hyperlink r:id="rId14">
        <w:r>
          <w:rPr>
            <w:color w:val="1155CC"/>
            <w:u w:val="single"/>
          </w:rPr>
          <w:t>Эффект «Цунами» при реализации мегапроектов: почему гибнет даже идеальный план</w:t>
        </w:r>
      </w:hyperlink>
    </w:p>
    <w:p>
      <w:pPr>
        <w:pStyle w:val="ListBullet"/>
        <w:spacing w:after="80"/>
      </w:pPr>
      <w:hyperlink r:id="rId15">
        <w:r>
          <w:rPr>
            <w:color w:val="1155CC"/>
            <w:u w:val="single"/>
          </w:rPr>
          <w:t>«А ты купи слона». Или как снабжение первым замечает потерю управления</w:t>
        </w:r>
      </w:hyperlink>
    </w:p>
    <w:p>
      <w:pPr>
        <w:pStyle w:val="ListBullet"/>
        <w:spacing w:after="80"/>
      </w:pPr>
      <w:hyperlink r:id="rId16">
        <w:r>
          <w:rPr>
            <w:color w:val="1155CC"/>
            <w:u w:val="single"/>
          </w:rPr>
          <w:t>Руководство: как гарантированно похоронить любой проект, соблюдая все регламенты</w:t>
        </w:r>
      </w:hyperlink>
    </w:p>
    <w:p>
      <w:pPr>
        <w:pStyle w:val="ListBullet"/>
        <w:spacing w:after="80"/>
      </w:pPr>
      <w:hyperlink r:id="rId17">
        <w:r>
          <w:rPr>
            <w:color w:val="1155CC"/>
            <w:u w:val="single"/>
          </w:rPr>
          <w:t>Руководство: как не дать проекту воскреснуть (часть 2)</w:t>
        </w:r>
      </w:hyperlink>
    </w:p>
    <w:p>
      <w:pPr>
        <w:pStyle w:val="ListBullet"/>
        <w:spacing w:after="80"/>
      </w:pPr>
      <w:hyperlink r:id="rId18">
        <w:r>
          <w:rPr>
            <w:color w:val="1155CC"/>
            <w:u w:val="single"/>
          </w:rPr>
          <w:t>Тоталитарное управление проектами: феномен «монстра Франкенштейна»</w:t>
        </w:r>
      </w:hyperlink>
    </w:p>
    <w:p>
      <w:pPr>
        <w:pStyle w:val="ListBullet"/>
        <w:spacing w:after="80"/>
      </w:pPr>
      <w:hyperlink r:id="rId19">
        <w:r>
          <w:rPr>
            <w:color w:val="1155CC"/>
            <w:u w:val="single"/>
          </w:rPr>
          <w:t>Тёмная сторона проектного треугольника: Глупость, Алчность и Безответственность</w:t>
        </w:r>
      </w:hyperlink>
    </w:p>
    <w:p>
      <w:pPr>
        <w:pStyle w:val="ListBullet"/>
        <w:spacing w:after="80"/>
      </w:pPr>
      <w:hyperlink r:id="rId20">
        <w:r>
          <w:rPr>
            <w:color w:val="1155CC"/>
            <w:u w:val="single"/>
          </w:rPr>
          <w:t>Управление изменениями — важнейшее требование к управлению проектом</w:t>
        </w:r>
      </w:hyperlink>
    </w:p>
    <w:p>
      <w:pPr>
        <w:pStyle w:val="ListBullet"/>
        <w:spacing w:after="80"/>
      </w:pPr>
      <w:hyperlink r:id="rId21">
        <w:r>
          <w:rPr>
            <w:color w:val="1155CC"/>
            <w:u w:val="single"/>
          </w:rPr>
          <w:t>Протокол в управлении проектами — ненужный бюрократизм или необходимость?</w:t>
        </w:r>
      </w:hyperlink>
    </w:p>
    <w:p>
      <w:pPr>
        <w:pStyle w:val="ListBullet"/>
        <w:spacing w:after="80"/>
      </w:pPr>
      <w:hyperlink r:id="rId22">
        <w:r>
          <w:rPr>
            <w:color w:val="1155CC"/>
            <w:u w:val="single"/>
          </w:rPr>
          <w:t>Откуда берутся многочасовые совещания на 50 человек</w:t>
        </w:r>
      </w:hyperlink>
    </w:p>
    <w:p>
      <w:pPr>
        <w:pStyle w:val="ListBullet"/>
        <w:spacing w:after="80"/>
      </w:pPr>
      <w:hyperlink r:id="rId23">
        <w:r>
          <w:rPr>
            <w:color w:val="1155CC"/>
            <w:u w:val="single"/>
          </w:rPr>
          <w:t>Тот, кто не готов меняться, не достигнет успеха</w:t>
        </w:r>
      </w:hyperlink>
    </w:p>
    <w:p>
      <w:pPr>
        <w:pStyle w:val="ListBullet"/>
        <w:spacing w:after="80"/>
      </w:pPr>
      <w:hyperlink r:id="rId24">
        <w:r>
          <w:rPr>
            <w:color w:val="1155CC"/>
            <w:u w:val="single"/>
          </w:rPr>
          <w:t>Управление программой проектов: можно без приоритетов?</w:t>
        </w:r>
      </w:hyperlink>
    </w:p>
    <w:p>
      <w:pPr>
        <w:pStyle w:val="ListBullet"/>
        <w:spacing w:after="80"/>
      </w:pPr>
      <w:hyperlink r:id="rId25">
        <w:r>
          <w:rPr>
            <w:color w:val="1155CC"/>
            <w:u w:val="single"/>
          </w:rPr>
          <w:t>Как снизить инвестиционные риски в условиях неопределённости</w:t>
        </w:r>
      </w:hyperlink>
    </w:p>
    <w:p>
      <w:pPr>
        <w:pStyle w:val="ListBullet"/>
        <w:spacing w:after="80"/>
      </w:pPr>
      <w:hyperlink r:id="rId26">
        <w:r>
          <w:rPr>
            <w:color w:val="1155CC"/>
            <w:u w:val="single"/>
          </w:rPr>
          <w:t>«Как обманывают в крупных проектах»</w:t>
        </w:r>
      </w:hyperlink>
    </w:p>
    <w:p>
      <w:pPr>
        <w:pStyle w:val="ListBullet"/>
        <w:spacing w:after="80"/>
      </w:pPr>
      <w:hyperlink r:id="rId27">
        <w:r>
          <w:rPr>
            <w:color w:val="1155CC"/>
            <w:u w:val="single"/>
          </w:rPr>
          <w:t>PM GATE — новый стандарт управления программами PM Excellence</w:t>
        </w:r>
      </w:hyperlink>
    </w:p>
    <w:p>
      <w:pPr>
        <w:pStyle w:val="ListBullet"/>
        <w:spacing w:after="80"/>
      </w:pPr>
      <w:hyperlink r:id="rId28">
        <w:r>
          <w:rPr>
            <w:color w:val="1155CC"/>
            <w:u w:val="single"/>
          </w:rPr>
          <w:t>Эмерджентность проекта? Не слышали!</w:t>
        </w:r>
      </w:hyperlink>
    </w:p>
    <w:p>
      <w:pPr>
        <w:pStyle w:val="ListBullet"/>
        <w:spacing w:after="80"/>
      </w:pPr>
      <w:hyperlink r:id="rId29">
        <w:r>
          <w:rPr>
            <w:color w:val="1155CC"/>
            <w:u w:val="single"/>
          </w:rPr>
          <w:t>Уход Oracle и Microsoft из России — что изменилось в применении ИСУП?</w:t>
        </w:r>
      </w:hyperlink>
    </w:p>
    <w:p>
      <w:pPr>
        <w:pStyle w:val="ListBullet"/>
        <w:spacing w:after="80"/>
      </w:pPr>
      <w:hyperlink r:id="rId30">
        <w:r>
          <w:rPr>
            <w:color w:val="1155CC"/>
            <w:u w:val="single"/>
          </w:rPr>
          <w:t>К вопросу о правовых нюансах использования ИИ при управлении мегапроектами</w:t>
        </w:r>
      </w:hyperlink>
    </w:p>
    <w:p>
      <w:pPr>
        <w:pStyle w:val="ListBullet"/>
        <w:spacing w:after="80"/>
      </w:pPr>
      <w:hyperlink r:id="rId31">
        <w:r>
          <w:rPr>
            <w:color w:val="1155CC"/>
            <w:u w:val="single"/>
          </w:rPr>
          <w:t>Мегапроекты нефтегазовой отрасли России</w:t>
        </w:r>
      </w:hyperlink>
    </w:p>
    <w:p>
      <w:pPr>
        <w:pStyle w:val="ListBullet"/>
        <w:spacing w:after="80"/>
      </w:pPr>
      <w:hyperlink r:id="rId32">
        <w:r>
          <w:rPr>
            <w:color w:val="1155CC"/>
            <w:u w:val="single"/>
          </w:rPr>
          <w:t>Мегапроекты: Великий и могучий</w:t>
        </w:r>
      </w:hyperlink>
    </w:p>
    <w:p>
      <w:pPr>
        <w:spacing w:before="280"/>
      </w:pPr>
      <w:r>
        <w:t xml:space="preserve">Все статьи читайте на сайте </w:t>
      </w:r>
      <w:hyperlink r:id="rId33">
        <w:r>
          <w:rPr>
            <w:color w:val="1155CC"/>
            <w:u w:val="single"/>
          </w:rPr>
          <w:t>pmexcellence.com</w:t>
        </w:r>
      </w:hyperlink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mexcellence.com/news/article/aleksandr-kutuzov-krupnyy-proekt-pokhozh-na-bolshoy-korabl-on-tak-zhe-inerten-i-nepovorotliv/" TargetMode="External"/><Relationship Id="rId10" Type="http://schemas.openxmlformats.org/officeDocument/2006/relationships/hyperlink" Target="https://pmexcellence.com/news/article/nechetkaya-tsel-proekta-garantiya-provala/" TargetMode="External"/><Relationship Id="rId11" Type="http://schemas.openxmlformats.org/officeDocument/2006/relationships/hyperlink" Target="https://pmexcellence.com/news/article/integratsiya-osnovnaya-zadacha-upravleniya-proektami/" TargetMode="External"/><Relationship Id="rId12" Type="http://schemas.openxmlformats.org/officeDocument/2006/relationships/hyperlink" Target="https://pmexcellence.com/news/article/otsenka-statusa-po-valu-pri-upravlenii-krupnymi-proektami-kak-nachalniki-priuchayut-sebya-ko-lzhi/" TargetMode="External"/><Relationship Id="rId13" Type="http://schemas.openxmlformats.org/officeDocument/2006/relationships/hyperlink" Target="https://pmexcellence.com/news/article/bez-illyuziy-zachem-megaproektam-nuzhna-zrelaya-analitika/" TargetMode="External"/><Relationship Id="rId14" Type="http://schemas.openxmlformats.org/officeDocument/2006/relationships/hyperlink" Target="https://pmexcellence.com/news/article/effekt-tsunami-pri-realizatsii-megaproektov-pochemu-gibnet-dazhe-idealnyy-plan/" TargetMode="External"/><Relationship Id="rId15" Type="http://schemas.openxmlformats.org/officeDocument/2006/relationships/hyperlink" Target="https://pmexcellence.com/news/article/a-ty-kupi-slona-ili-kak-snabzhenie-pervym-zamechaet-poteryu-upravleniya/" TargetMode="External"/><Relationship Id="rId16" Type="http://schemas.openxmlformats.org/officeDocument/2006/relationships/hyperlink" Target="https://pmexcellence.com/news/article/rukovodstvo-kak-garantirovanno-pokhoronit-lyuboy-proekt-soblyudaya-vse-reglamenty/" TargetMode="External"/><Relationship Id="rId17" Type="http://schemas.openxmlformats.org/officeDocument/2006/relationships/hyperlink" Target="https://pmexcellence.com/news/article/rukovodstvo-kak-ne-dat-proektu-voskresnut-chast-2/" TargetMode="External"/><Relationship Id="rId18" Type="http://schemas.openxmlformats.org/officeDocument/2006/relationships/hyperlink" Target="https://pmexcellence.com/news/article/totalitarnoe-upravlenie-proektami-fenomen-monstra-frankenshteyna/" TargetMode="External"/><Relationship Id="rId19" Type="http://schemas.openxmlformats.org/officeDocument/2006/relationships/hyperlink" Target="https://pmexcellence.com/news/article/tyemnaya-storona-proektnogo-treugolnika-glupost-alchnost-i-bezotvetstvennost/" TargetMode="External"/><Relationship Id="rId20" Type="http://schemas.openxmlformats.org/officeDocument/2006/relationships/hyperlink" Target="https://pmexcellence.com/news/article/upravlenie-izmeneniyami-vazhneyshee-trebovanie-k-upravleniyu-proektom/" TargetMode="External"/><Relationship Id="rId21" Type="http://schemas.openxmlformats.org/officeDocument/2006/relationships/hyperlink" Target="https://pmexcellence.com/news/article/protokol-v-upravlenii-proektami-nenuzhnyy-byurokratizm-ili-neobkhodimost/" TargetMode="External"/><Relationship Id="rId22" Type="http://schemas.openxmlformats.org/officeDocument/2006/relationships/hyperlink" Target="https://pmexcellence.com/news/article/otkuda-berutsya-mnogochasovye-soveshchaniya-na-50-chelovek/" TargetMode="External"/><Relationship Id="rId23" Type="http://schemas.openxmlformats.org/officeDocument/2006/relationships/hyperlink" Target="https://pmexcellence.com/news/article/tot-kto-ne-gotov-menyatsya-ne-dostignet-uspekha/" TargetMode="External"/><Relationship Id="rId24" Type="http://schemas.openxmlformats.org/officeDocument/2006/relationships/hyperlink" Target="https://pmexcellence.com/news/article/upravlenie-programmoy-proektov-mozhno-bez-prioritetov/" TargetMode="External"/><Relationship Id="rId25" Type="http://schemas.openxmlformats.org/officeDocument/2006/relationships/hyperlink" Target="https://pmexcellence.com/news/article/kak-snizit-investitsionnye-riski-v-usloviyakh-neopredelennosti/" TargetMode="External"/><Relationship Id="rId26" Type="http://schemas.openxmlformats.org/officeDocument/2006/relationships/hyperlink" Target="https://pmexcellence.com/news/article/povest-o-neprostoy-zhizni-investora/" TargetMode="External"/><Relationship Id="rId27" Type="http://schemas.openxmlformats.org/officeDocument/2006/relationships/hyperlink" Target="https://pmexcellence.com/news/article/pm-gate-novyy-standart-upravleniya-programmami-pm-excellence/" TargetMode="External"/><Relationship Id="rId28" Type="http://schemas.openxmlformats.org/officeDocument/2006/relationships/hyperlink" Target="https://pmexcellence.com/news/article/emerdzhentnost-proekta-ne-slyshali/" TargetMode="External"/><Relationship Id="rId29" Type="http://schemas.openxmlformats.org/officeDocument/2006/relationships/hyperlink" Target="https://pmexcellence.com/news/article/ukhod-oracle-i-microsoft-iz-rossii-chto-izmenilos-v-primenenii-informatsionnykh-sistem-upravleniya-p/" TargetMode="External"/><Relationship Id="rId30" Type="http://schemas.openxmlformats.org/officeDocument/2006/relationships/hyperlink" Target="https://pmexcellence.com/news/article/pravovye-nuance-AI/" TargetMode="External"/><Relationship Id="rId31" Type="http://schemas.openxmlformats.org/officeDocument/2006/relationships/hyperlink" Target="https://pmexcellence.com/news/article/megaproekty-neftegazovoy-otrasli-rossii/" TargetMode="External"/><Relationship Id="rId32" Type="http://schemas.openxmlformats.org/officeDocument/2006/relationships/hyperlink" Target="https://pmexcellence.com/news/article/megaproekty-velikiy-i-moguchiy/" TargetMode="External"/><Relationship Id="rId33" Type="http://schemas.openxmlformats.org/officeDocument/2006/relationships/hyperlink" Target="https://pmexcellence.com/news/article/all/obshchie-voprosy-upravleniya-proektam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