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88888"/>
          <w:sz w:val="18"/>
        </w:rPr>
        <w:t>НОВОСТЬ ДЛЯ САЙТА</w:t>
      </w:r>
    </w:p>
    <w:p>
      <w:pPr>
        <w:pStyle w:val="Heading1"/>
      </w:pPr>
      <w:r>
        <w:rPr>
          <w:color w:val="1A1A2E"/>
          <w:sz w:val="36"/>
        </w:rPr>
        <w:t>Сокращение сроков проекта: почему задерживаются мегапроекты и как это исправить</w:t>
      </w:r>
    </w:p>
    <w:p>
      <w:pPr>
        <w:spacing w:after="120"/>
      </w:pPr>
      <w:r>
        <w:t>По данным McKinsey, 98% мегапроектов превышают бюджет более чем на 30% и задерживаются минимум на 40%. В России каждый второй крупный проект отклоняется от сроков больше чем на год — при потерях в десятки миллионов рублей ежедневно.</w:t>
      </w:r>
    </w:p>
    <w:p>
      <w:pPr>
        <w:spacing w:after="120"/>
      </w:pPr>
      <w:r>
        <w:t>Причины редко бывают техническими. Чаще это медленные решения, несогласованность процессов, бесконтрольные подрядчики и управление в режиме постоянной реакции. Эксперты PM Excellence разобрали тему со всех сторон — собрали все материалы в одном месте.</w:t>
      </w:r>
    </w:p>
    <w:p>
      <w:pPr>
        <w:spacing w:after="80"/>
      </w:pPr>
    </w:p>
    <w:p>
      <w:pPr>
        <w:pStyle w:val="Heading2"/>
        <w:spacing w:before="280"/>
      </w:pPr>
      <w:r>
        <w:rPr>
          <w:color w:val="1A1A2E"/>
          <w:sz w:val="26"/>
        </w:rPr>
        <w:t>Бич мегапроектов — скорость принятия решений</w:t>
      </w:r>
    </w:p>
    <w:p>
      <w:pPr>
        <w:spacing w:after="80"/>
      </w:pPr>
      <w:r>
        <w:t>Один день просрочки крупного проекта стоит десятки или сотни миллионов рублей — и эту цифру должны знать все ключевые участники. Александр Кутузов разбирает, почему согласования идут по операционным регламентам, не приспособленным для проектного ритма: закупочные комиссии, многоуровневые проверки, центральные офисы с методологиями «не понимая реалии на площадке». Решение — ЦОРП: совещания с первыми лицами, которые обходят регламентные ограничения силой полномочий.</w:t>
      </w:r>
    </w:p>
    <w:p>
      <w:pPr>
        <w:spacing w:after="200"/>
      </w:pPr>
      <w:r>
        <w:t xml:space="preserve">→ </w:t>
      </w:r>
      <w:hyperlink r:id="rId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Проект застрял и теряет миллионы: как ускорить реализацию</w:t>
      </w:r>
    </w:p>
    <w:p>
      <w:pPr>
        <w:spacing w:after="80"/>
      </w:pPr>
      <w:r>
        <w:t>Три корневые причины задержек — бюрократические согласования, конфликт операционных и проектных процессов, коллективная безответственность. Руководитель проекта отвечает за результат, но не получает полномочий для оперативных решений. Выход: волновое планирование, приоритизация критического пути через КСМ и Центры оперативного реагирования (ЦОРП), снимающие барьеры между топ-менеджментом и командой.</w:t>
      </w:r>
    </w:p>
    <w:p>
      <w:pPr>
        <w:spacing w:after="200"/>
      </w:pPr>
      <w:r>
        <w:t xml:space="preserve">→ </w:t>
      </w:r>
      <w:hyperlink r:id="rId1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Как сократить сроки реализации проекта</w:t>
      </w:r>
    </w:p>
    <w:p>
      <w:pPr>
        <w:spacing w:after="80"/>
      </w:pPr>
      <w:r>
        <w:t>Корпоративные процессы заточены под долгосрочное планирование — а проект требует решений здесь и сейчас. Если труба нужна через месяц, а закупка запланирована через полгода, проект стоит. При выборе материалов скорость поставки важнее цены. Командная согласованность — не мягкий фактор, а базовое условие результата.</w:t>
      </w:r>
    </w:p>
    <w:p>
      <w:pPr>
        <w:spacing w:after="200"/>
      </w:pPr>
      <w:r>
        <w:t xml:space="preserve">→ </w:t>
      </w:r>
      <w:hyperlink r:id="rId1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Срывы сроков крупных проектов — кто виноват и что делать?</w:t>
      </w:r>
    </w:p>
    <w:p>
      <w:pPr>
        <w:spacing w:after="80"/>
      </w:pPr>
      <w:r>
        <w:t>Более половины крупных проектов задерживаются свыше чем на год. Роман Черемисин объясняет, почему: сложные взаимосвязи между подрядчиками, отсутствие единой модели планирования и человеческий фактор — каждый участник подаёт информацию в выгодном для себя свете. Трёхэтапный выход: интегрированная КСМ → выявление критических цепочек → компенсирующие мероприятия через ЦОРП.</w:t>
      </w:r>
    </w:p>
    <w:p>
      <w:pPr>
        <w:spacing w:after="200"/>
      </w:pPr>
      <w:r>
        <w:t xml:space="preserve">→ </w:t>
      </w:r>
      <w:hyperlink r:id="rId12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Чрезмерная свобода подрядчика — риски срыва сроков</w:t>
      </w:r>
    </w:p>
    <w:p>
      <w:pPr>
        <w:spacing w:after="80"/>
      </w:pPr>
      <w:r>
        <w:t>Заказчик становится заложником подрядчика, когда у того нет согласованного долгосрочного плана. Подрядчик выполняет выгодные для себя работы, оставляя критичные на финал — с истощёнными ресурсами. Решение: требовать верхнеуровневую КСМ уже на этапе отбора, фиксировать в договоре ежемесячную отчётность в согласованном формате и системно контролировать её выполнение.</w:t>
      </w:r>
    </w:p>
    <w:p>
      <w:pPr>
        <w:spacing w:after="200"/>
      </w:pPr>
      <w:r>
        <w:t xml:space="preserve">→ </w:t>
      </w:r>
      <w:hyperlink r:id="rId13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Какие инструменты помогут определить статус проекта и сократить его сроки?</w:t>
      </w:r>
    </w:p>
    <w:p>
      <w:pPr>
        <w:spacing w:after="80"/>
      </w:pPr>
      <w:r>
        <w:t>Владимир Баранов разбирает связку двух инструментов: S-кривая показывает тренды реализации для высшего менеджмента, критический путь — конкретные работы без резервов для команды проекта. Ускорить можно только то, что находится на критическом пути. Эти инструменты не конкурируют — они работают на разных уровнях принятия решений.</w:t>
      </w:r>
    </w:p>
    <w:p>
      <w:pPr>
        <w:spacing w:after="200"/>
      </w:pPr>
      <w:r>
        <w:t xml:space="preserve">→ </w:t>
      </w:r>
      <w:hyperlink r:id="rId14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Ключевые показатели оценки хода реализации проекта</w:t>
      </w:r>
    </w:p>
    <w:p>
      <w:pPr>
        <w:spacing w:after="80"/>
      </w:pPr>
      <w:r>
        <w:t>98% мегапроектов в мире не укладываются в сроки — во многом потому, что метрики прогресса у заказчика и подрядчика трактуются по-разному. Иван Смирнов ставит задачу: стандартизировать объективные показатели, которые дают честную картину состояния проекта, а не согласованную версию для отчёта.</w:t>
      </w:r>
    </w:p>
    <w:p>
      <w:pPr>
        <w:spacing w:after="200"/>
      </w:pPr>
      <w:r>
        <w:t xml:space="preserve">→ </w:t>
      </w:r>
      <w:hyperlink r:id="rId15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Зарубежная и российская оценка причин срыва сроков в ТЭК</w:t>
      </w:r>
    </w:p>
    <w:p>
      <w:pPr>
        <w:spacing w:after="80"/>
      </w:pPr>
      <w:r>
        <w:t>78% мегапроектов в нефтегазе не уложились в сроки и стоимость. Иван Смирнов сравнивает зарубежный и российский опыт: в России к системным проблемам добавляются отсутствие квалифицированных подрядчиков, размытая ответственность и неэффективные оргструктуры. Фундаментальный вывод: коммуникация между сторонами важнее технических решений.</w:t>
      </w:r>
    </w:p>
    <w:p>
      <w:pPr>
        <w:spacing w:after="200"/>
      </w:pPr>
      <w:r>
        <w:t xml:space="preserve">→ </w:t>
      </w:r>
      <w:hyperlink r:id="rId16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ГОК в срок: управление проектами в горной отрасли</w:t>
      </w:r>
    </w:p>
    <w:p>
      <w:pPr>
        <w:spacing w:after="80"/>
      </w:pPr>
      <w:r>
        <w:t>Топ-5 рисков горнодобывающих проектов: дефицит управленческих кадров, нехватка строительных рабочих, длительные корпоративные согласования, срывы поставок, низкое качество проектной документации. С 2020 года спрос на специалистов резко вырос — предложение стагнирует. Привлечение PMC на старте обходится в 80 раз дешевле, чем ликвидация последствий задержек.</w:t>
      </w:r>
    </w:p>
    <w:p>
      <w:pPr>
        <w:spacing w:after="200"/>
      </w:pPr>
      <w:r>
        <w:t xml:space="preserve">→ </w:t>
      </w:r>
      <w:hyperlink r:id="rId17">
        <w:r>
          <w:rPr>
            <w:color w:val="1155CC"/>
            <w:u w:val="single"/>
          </w:rPr>
          <w:t>Читать статью</w:t>
        </w:r>
      </w:hyperlink>
    </w:p>
    <w:p/>
    <w:p>
      <w:pPr>
        <w:spacing w:after="120"/>
      </w:pPr>
      <w:r>
        <w:t>Все материалы — из практики реальных проектов в строительстве, горнодобыче, нефтегазе и промышленности. Авторы — эксперты PM Excellence, которые работают с мегапроектами ежедневно.</w:t>
      </w:r>
    </w:p>
    <w:p>
      <w:pPr>
        <w:spacing w:after="480"/>
      </w:pPr>
      <w:r>
        <w:t xml:space="preserve">→ Вся подборка по теме: </w:t>
      </w:r>
      <w:hyperlink r:id="rId18">
        <w:r>
          <w:rPr>
            <w:color w:val="1155CC"/>
            <w:u w:val="single"/>
          </w:rPr>
          <w:t>pmexcellence.com/news/article/all/sokrashchenie-srokov-proektov-sroki/</w:t>
        </w:r>
      </w:hyperlink>
    </w:p>
    <w:p>
      <w:r>
        <w:br w:type="page"/>
      </w:r>
    </w:p>
    <w:p>
      <w:r>
        <w:rPr>
          <w:b/>
          <w:color w:val="888888"/>
          <w:sz w:val="18"/>
        </w:rPr>
        <w:t>ПОСТ ДЛЯ TELEGRAM</w:t>
      </w:r>
    </w:p>
    <w:p>
      <w:pPr>
        <w:spacing w:after="240"/>
      </w:pPr>
      <w:r>
        <w:t>Сроки срываются не из-за подрядчиков.</w:t>
        <w:br/>
        <w:br/>
        <w:t>Чаще всего — из-за медленных решений, несогласованных процессов и управления в режиме вечного тушения пожаров.</w:t>
        <w:br/>
        <w:br/>
        <w:t>Собрали все материалы PM Excellence по теме сокращения сроков проектов:</w:t>
      </w:r>
    </w:p>
    <w:p>
      <w:pPr>
        <w:pStyle w:val="ListBullet"/>
        <w:spacing w:after="80"/>
      </w:pPr>
      <w:hyperlink r:id="rId9">
        <w:r>
          <w:rPr>
            <w:color w:val="1155CC"/>
            <w:u w:val="single"/>
          </w:rPr>
          <w:t>Бич мегапроектов — скорость принятия решений</w:t>
        </w:r>
      </w:hyperlink>
    </w:p>
    <w:p>
      <w:pPr>
        <w:pStyle w:val="ListBullet"/>
        <w:spacing w:after="80"/>
      </w:pPr>
      <w:hyperlink r:id="rId10">
        <w:r>
          <w:rPr>
            <w:color w:val="1155CC"/>
            <w:u w:val="single"/>
          </w:rPr>
          <w:t>Проект застрял и теряет миллионы на срыве сроков: как ускорить реализацию</w:t>
        </w:r>
      </w:hyperlink>
    </w:p>
    <w:p>
      <w:pPr>
        <w:pStyle w:val="ListBullet"/>
        <w:spacing w:after="80"/>
      </w:pPr>
      <w:hyperlink r:id="rId11">
        <w:r>
          <w:rPr>
            <w:color w:val="1155CC"/>
            <w:u w:val="single"/>
          </w:rPr>
          <w:t>Как сократить сроки реализации проекта</w:t>
        </w:r>
      </w:hyperlink>
    </w:p>
    <w:p>
      <w:pPr>
        <w:pStyle w:val="ListBullet"/>
        <w:spacing w:after="80"/>
      </w:pPr>
      <w:hyperlink r:id="rId12">
        <w:r>
          <w:rPr>
            <w:color w:val="1155CC"/>
            <w:u w:val="single"/>
          </w:rPr>
          <w:t>Срывы сроков крупных проектов — кто виноват и что делать?</w:t>
        </w:r>
      </w:hyperlink>
    </w:p>
    <w:p>
      <w:pPr>
        <w:pStyle w:val="ListBullet"/>
        <w:spacing w:after="80"/>
      </w:pPr>
      <w:hyperlink r:id="rId13">
        <w:r>
          <w:rPr>
            <w:color w:val="1155CC"/>
            <w:u w:val="single"/>
          </w:rPr>
          <w:t>Чрезмерная свобода подрядчика — риски срыва сроков проекта</w:t>
        </w:r>
      </w:hyperlink>
    </w:p>
    <w:p>
      <w:pPr>
        <w:pStyle w:val="ListBullet"/>
        <w:spacing w:after="80"/>
      </w:pPr>
      <w:hyperlink r:id="rId14">
        <w:r>
          <w:rPr>
            <w:color w:val="1155CC"/>
            <w:u w:val="single"/>
          </w:rPr>
          <w:t>Какие инструменты помогут определить статус проекта и сократить его сроки?</w:t>
        </w:r>
      </w:hyperlink>
    </w:p>
    <w:p>
      <w:pPr>
        <w:pStyle w:val="ListBullet"/>
        <w:spacing w:after="80"/>
      </w:pPr>
      <w:hyperlink r:id="rId15">
        <w:r>
          <w:rPr>
            <w:color w:val="1155CC"/>
            <w:u w:val="single"/>
          </w:rPr>
          <w:t>Ключевые показатели оценки хода реализации проекта и эффективности системы управления</w:t>
        </w:r>
      </w:hyperlink>
    </w:p>
    <w:p>
      <w:pPr>
        <w:pStyle w:val="ListBullet"/>
        <w:spacing w:after="80"/>
      </w:pPr>
      <w:hyperlink r:id="rId16">
        <w:r>
          <w:rPr>
            <w:color w:val="1155CC"/>
            <w:u w:val="single"/>
          </w:rPr>
          <w:t>Зарубежная и российская оценка причин срыва сроков в реализации крупных и мегапроектов в ТЭК</w:t>
        </w:r>
      </w:hyperlink>
    </w:p>
    <w:p>
      <w:pPr>
        <w:pStyle w:val="ListBullet"/>
        <w:spacing w:after="80"/>
      </w:pPr>
      <w:hyperlink r:id="rId17">
        <w:r>
          <w:rPr>
            <w:color w:val="1155CC"/>
            <w:u w:val="single"/>
          </w:rPr>
          <w:t>ГОК в срок: как управлять проектами в горной отрасли</w:t>
        </w:r>
      </w:hyperlink>
    </w:p>
    <w:p>
      <w:pPr>
        <w:spacing w:before="280"/>
      </w:pPr>
      <w:r>
        <w:t xml:space="preserve">Все статьи читайте на сайте </w:t>
      </w:r>
      <w:hyperlink r:id="rId18">
        <w:r>
          <w:rPr>
            <w:color w:val="1155CC"/>
            <w:u w:val="single"/>
          </w:rPr>
          <w:t>pmexcellence.com</w:t>
        </w:r>
      </w:hyperlink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excellence.com/news/article/bich-megaproektov-skorost-prinyatiya-resheniy/" TargetMode="External"/><Relationship Id="rId10" Type="http://schemas.openxmlformats.org/officeDocument/2006/relationships/hyperlink" Target="https://pmexcellence.com/news/article/proekt-zastryal-i-teryaet-milliony-na-sryve-srokov-kak-uskorit-realizatsiyu/" TargetMode="External"/><Relationship Id="rId11" Type="http://schemas.openxmlformats.org/officeDocument/2006/relationships/hyperlink" Target="https://pmexcellence.com/news/article/kak-sokratit-sroki-realizatsii-proekta-istochnik-https-neftegaz-ru-news-finance-869863-kak-sokratit-/" TargetMode="External"/><Relationship Id="rId12" Type="http://schemas.openxmlformats.org/officeDocument/2006/relationships/hyperlink" Target="https://pmexcellence.com/news/article/sryvy-srokov-krupnykh-proektov-kto-vinovat-i-chto-delat/" TargetMode="External"/><Relationship Id="rId13" Type="http://schemas.openxmlformats.org/officeDocument/2006/relationships/hyperlink" Target="https://pmexcellence.com/news/article/chrezmernaya-svoboda-podryadchika-riski-sryva-srokov-proekta-post-/" TargetMode="External"/><Relationship Id="rId14" Type="http://schemas.openxmlformats.org/officeDocument/2006/relationships/hyperlink" Target="https://pmexcellence.com/news/article/kakie-instrumenty-pomogut-opredelit-status-proekta-i-sokratit-ego-sroki-o-kriticheskom-puti-proekta-/" TargetMode="External"/><Relationship Id="rId15" Type="http://schemas.openxmlformats.org/officeDocument/2006/relationships/hyperlink" Target="https://pmexcellence.com/news/article/klyuchevye-pokazateli-otsenki-khoda-realizatsii-proekta-i-effektivnosti-sistemy-upravleniya/" TargetMode="External"/><Relationship Id="rId16" Type="http://schemas.openxmlformats.org/officeDocument/2006/relationships/hyperlink" Target="https://pmexcellence.com/news/article/zarubezhnaya-i-rossiyskaya-otsenka-prichin-sryva-srokov-v-realizatsii-krupnykh-i-megaproektakh-v-top/" TargetMode="External"/><Relationship Id="rId17" Type="http://schemas.openxmlformats.org/officeDocument/2006/relationships/hyperlink" Target="https://pmexcellence.com/news/article/gok-v-srok-kak-upravlyat-proektami-v-gornoy-otrasli/" TargetMode="External"/><Relationship Id="rId18" Type="http://schemas.openxmlformats.org/officeDocument/2006/relationships/hyperlink" Target="https://pmexcellence.com/news/article/all/sokrashchenie-srokov-proektov-srok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