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8888"/>
          <w:sz w:val="18"/>
        </w:rPr>
        <w:t>НОВОСТЬ ДЛЯ САЙТА</w:t>
      </w:r>
    </w:p>
    <w:p>
      <w:pPr>
        <w:pStyle w:val="Heading1"/>
      </w:pPr>
      <w:r>
        <w:rPr>
          <w:color w:val="1A1A2E"/>
          <w:sz w:val="36"/>
        </w:rPr>
        <w:t>Технологии управления проектами: от стандартов до гибридных методологий</w:t>
      </w:r>
    </w:p>
    <w:p>
      <w:pPr>
        <w:spacing w:after="120"/>
      </w:pPr>
      <w:r>
        <w:t>Классический или гибкий подход? Критический путь или критическая цепь? Kanban на строительном мегапроекте — это реально? Технологии управления проектами развиваются быстро, и на практике побеждает не тот, кто следует одной методологии, а тот, кто умеет их комбинировать.</w:t>
      </w:r>
    </w:p>
    <w:p>
      <w:pPr>
        <w:spacing w:after="120"/>
      </w:pPr>
      <w:r>
        <w:t>PM Excellence собрала материалы о технологиях и стандартах управления проектами — от собственных разработок компании до разбора конкретных инструментов в действии.</w:t>
      </w:r>
    </w:p>
    <w:p>
      <w:pPr>
        <w:spacing w:after="80"/>
      </w:pPr>
    </w:p>
    <w:p>
      <w:pPr>
        <w:pStyle w:val="Heading2"/>
        <w:spacing w:before="280"/>
      </w:pPr>
      <w:r>
        <w:rPr>
          <w:color w:val="1A1A2E"/>
          <w:sz w:val="26"/>
        </w:rPr>
        <w:t>Стандарты PM GUIDE, PM GATE и PM PORTFOLIO: практическая опора для управления проектами</w:t>
      </w:r>
    </w:p>
    <w:p>
      <w:pPr>
        <w:spacing w:after="80"/>
      </w:pPr>
      <w:r>
        <w:t>Иван Смирнов представляет экосистему стандартов PM Excellence, разработанных специально для российской практики: PM GUIDE (12 обязательных процессов управления проектом), PM GATE (гейтовая модель для управления программами с фокусом на выгоды) и PM PORTFOLIO (приоритизация и распределение ресурсов между проектами). В отличие от международных стандартов — не рекомендации, а минимально необходимые требования с ориентацией на цифровую автоматизацию.</w:t>
      </w:r>
    </w:p>
    <w:p>
      <w:pPr>
        <w:spacing w:after="200"/>
      </w:pPr>
      <w:r>
        <w:t xml:space="preserve">→ </w:t>
      </w:r>
      <w:hyperlink r:id="rId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Гибридное управление в мегапроектах: ритм + темп = победа!</w:t>
      </w:r>
    </w:p>
    <w:p>
      <w:pPr>
        <w:spacing w:after="80"/>
      </w:pPr>
      <w:r>
        <w:t>В марте 2020 года Информационный центр по мониторингу коронавируса был запущен за 28 часов — благодаря гибридному подходу с двухчасовыми итерациями и параллельными классическими потоками. По данным Сколково, 65–71% российских проектов сегодня управляются именно гибридными методами. Евгений Пикулев разбирает три модели комбинирования: классика сверху + Agile снизу, чередование подходов, взаимное дополнение.</w:t>
      </w:r>
    </w:p>
    <w:p>
      <w:pPr>
        <w:spacing w:after="200"/>
      </w:pPr>
      <w:r>
        <w:t xml:space="preserve">→ </w:t>
      </w:r>
      <w:hyperlink r:id="rId1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Мегапроекты: канбан, бэклог и прочий джаз</w:t>
      </w:r>
    </w:p>
    <w:p>
      <w:pPr>
        <w:spacing w:after="80"/>
      </w:pPr>
      <w:r>
        <w:t>Евгений Пикулев описывает реальный кейс: Scrum на реконструкции международного терминала аэропорта Анапа. Дорожная карта + канбан-доска позволили синхронизировать спринты с общими сроками КСМ. Командное обучение через типовые упражнения снизило сопротивление изменениям. Вывод: гибкие инструменты работают на крупных строительных проектах — если правильно их встроить в классическую структуру.</w:t>
      </w:r>
    </w:p>
    <w:p>
      <w:pPr>
        <w:spacing w:after="200"/>
      </w:pPr>
      <w:r>
        <w:t xml:space="preserve">→ </w:t>
      </w:r>
      <w:hyperlink r:id="rId1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Мегапроекты: критический путь или цепь?</w:t>
      </w:r>
    </w:p>
    <w:p>
      <w:pPr>
        <w:spacing w:after="80"/>
      </w:pPr>
      <w:r>
        <w:t>Критический путь — теоретическая модель без учёта реальных ресурсных ограничений. Критическая цепь Голдратта — практический метод: управление ограничениями бюджета, сроков и людей с буферами для защиты проекта от неопределённости. Евгений Пикулев показывает, как PM Excellence адаптирует оба подхода под зрелость заказчика, получая дополнительную степень свободы в управлении.</w:t>
      </w:r>
    </w:p>
    <w:p>
      <w:pPr>
        <w:spacing w:after="200"/>
      </w:pPr>
      <w:r>
        <w:t xml:space="preserve">→ </w:t>
      </w:r>
      <w:hyperlink r:id="rId1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Не хватает касок! — что делать?</w:t>
      </w:r>
    </w:p>
    <w:p>
      <w:pPr>
        <w:spacing w:after="80"/>
      </w:pPr>
      <w:r>
        <w:t>Реальный кейс: на мегапроекте закончились каски — и их начали распределять по принципу «кто громче кричит». Александр Кочетов и Богдан Горфиняк показывают, как КСМ решила задачу: анализ полных резервов определил приоритетные работы, ресурсы перераспределили на критичный монтаж трубопроводов, испытания оборудования ускорились. Данные побеждают настойчивость.</w:t>
      </w:r>
    </w:p>
    <w:p>
      <w:pPr>
        <w:spacing w:after="200"/>
      </w:pPr>
      <w:r>
        <w:t xml:space="preserve">→ </w:t>
      </w:r>
      <w:hyperlink r:id="rId13">
        <w:r>
          <w:rPr>
            <w:color w:val="1155CC"/>
            <w:u w:val="single"/>
          </w:rPr>
          <w:t>Читать статью</w:t>
        </w:r>
      </w:hyperlink>
    </w:p>
    <w:p/>
    <w:p>
      <w:pPr>
        <w:spacing w:after="120"/>
      </w:pPr>
      <w:r>
        <w:t>Все материалы написаны практиками PM Excellence на основе реального опыта управления крупными и мегапроектами. Рубрика регулярно пополняется — следите за обновлениями на сайте.</w:t>
      </w:r>
    </w:p>
    <w:p>
      <w:pPr>
        <w:spacing w:after="480"/>
      </w:pPr>
      <w:r>
        <w:t xml:space="preserve">→ Вся подборка по теме: </w:t>
      </w:r>
      <w:hyperlink r:id="rId14">
        <w:r>
          <w:rPr>
            <w:color w:val="1155CC"/>
            <w:u w:val="single"/>
          </w:rPr>
          <w:t>pmexcellence.com/news/article/all/tekhnologii-upravleniya-proektami-tekhnologii/</w:t>
        </w:r>
      </w:hyperlink>
    </w:p>
    <w:p>
      <w:r>
        <w:br w:type="page"/>
      </w:r>
    </w:p>
    <w:p>
      <w:r>
        <w:rPr>
          <w:b/>
          <w:color w:val="888888"/>
          <w:sz w:val="18"/>
        </w:rPr>
        <w:t>ПОСТ ДЛЯ TELEGRAM</w:t>
      </w:r>
    </w:p>
    <w:p>
      <w:pPr>
        <w:spacing w:after="240"/>
      </w:pPr>
      <w:r>
        <w:t>65–71% российских проектов сегодня управляются гибридными методами.</w:t>
        <w:br/>
        <w:br/>
        <w:t>Классика или Agile — уже не вопрос выбора. Вопрос в том, как правильно их комбинировать.</w:t>
        <w:br/>
        <w:br/>
        <w:t>Собрали материалы PM Excellence о технологиях управления проектами:</w:t>
      </w:r>
    </w:p>
    <w:p>
      <w:pPr>
        <w:pStyle w:val="ListBullet"/>
        <w:spacing w:after="80"/>
      </w:pPr>
      <w:hyperlink r:id="rId9">
        <w:r>
          <w:rPr>
            <w:color w:val="1155CC"/>
            <w:u w:val="single"/>
          </w:rPr>
          <w:t>Стандарты PM GUIDE, PM GATE и PM PORTFOLIO: практическая опора для управления проектами, программами и портфелем</w:t>
        </w:r>
      </w:hyperlink>
    </w:p>
    <w:p>
      <w:pPr>
        <w:pStyle w:val="ListBullet"/>
        <w:spacing w:after="80"/>
      </w:pPr>
      <w:hyperlink r:id="rId10">
        <w:r>
          <w:rPr>
            <w:color w:val="1155CC"/>
            <w:u w:val="single"/>
          </w:rPr>
          <w:t>Гибридное управление в мегапроектах: ритм + темп = победа!</w:t>
        </w:r>
      </w:hyperlink>
    </w:p>
    <w:p>
      <w:pPr>
        <w:pStyle w:val="ListBullet"/>
        <w:spacing w:after="80"/>
      </w:pPr>
      <w:hyperlink r:id="rId11">
        <w:r>
          <w:rPr>
            <w:color w:val="1155CC"/>
            <w:u w:val="single"/>
          </w:rPr>
          <w:t>Мегапроекты: канбан, бэклог и прочий джаз</w:t>
        </w:r>
      </w:hyperlink>
    </w:p>
    <w:p>
      <w:pPr>
        <w:pStyle w:val="ListBullet"/>
        <w:spacing w:after="80"/>
      </w:pPr>
      <w:hyperlink r:id="rId12">
        <w:r>
          <w:rPr>
            <w:color w:val="1155CC"/>
            <w:u w:val="single"/>
          </w:rPr>
          <w:t>Мегапроекты: критический путь или цепь?</w:t>
        </w:r>
      </w:hyperlink>
    </w:p>
    <w:p>
      <w:pPr>
        <w:pStyle w:val="ListBullet"/>
        <w:spacing w:after="80"/>
      </w:pPr>
      <w:hyperlink r:id="rId13">
        <w:r>
          <w:rPr>
            <w:color w:val="1155CC"/>
            <w:u w:val="single"/>
          </w:rPr>
          <w:t>Не хватает касок! — Что делать?</w:t>
        </w:r>
      </w:hyperlink>
    </w:p>
    <w:p>
      <w:pPr>
        <w:spacing w:before="280"/>
      </w:pPr>
      <w:r>
        <w:t xml:space="preserve">Все статьи читайте на сайте </w:t>
      </w:r>
      <w:hyperlink r:id="rId14">
        <w:r>
          <w:rPr>
            <w:color w:val="1155CC"/>
            <w:u w:val="single"/>
          </w:rPr>
          <w:t>pmexcellence.com</w:t>
        </w:r>
      </w:hyperlink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excellence.com/news/article/standarty-pm-guide-pm-gate-i-pm-portfolio-prakticheskaya-opora-dlya-upravleniya-proektami-programmam/" TargetMode="External"/><Relationship Id="rId10" Type="http://schemas.openxmlformats.org/officeDocument/2006/relationships/hyperlink" Target="https://pmexcellence.com/news/article/gibridnoe-upravlenie-v-megaproektakh-ritm-temp-pobeda/" TargetMode="External"/><Relationship Id="rId11" Type="http://schemas.openxmlformats.org/officeDocument/2006/relationships/hyperlink" Target="https://pmexcellence.com/news/article/megaproekty-kanban-beklog-i-prochiy-dzhaz/" TargetMode="External"/><Relationship Id="rId12" Type="http://schemas.openxmlformats.org/officeDocument/2006/relationships/hyperlink" Target="https://pmexcellence.com/news/article/megaproekty-kriticheskiy-put-ili-tsep/" TargetMode="External"/><Relationship Id="rId13" Type="http://schemas.openxmlformats.org/officeDocument/2006/relationships/hyperlink" Target="https://pmexcellence.com/news/article/ne-khvataet-kasok-chto-delaty/" TargetMode="External"/><Relationship Id="rId14" Type="http://schemas.openxmlformats.org/officeDocument/2006/relationships/hyperlink" Target="https://pmexcellence.com/news/article/all/tekhnologii-upravleniya-proektami-tekhnolog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