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Calibri" w:hAnsi="Calibri"/>
          <w:b/>
          <w:i w:val="0"/>
          <w:color w:val="1A1A2E"/>
          <w:sz w:val="44"/>
        </w:rPr>
        <w:t>МАРКЕТИНГОВОЕ ИССЛЕДОВАНИЕ</w:t>
      </w:r>
    </w:p>
    <w:p>
      <w:pPr>
        <w:jc w:val="center"/>
        <w:spacing w:before="0" w:after="120"/>
      </w:pPr>
      <w:r>
        <w:rPr>
          <w:rFonts w:ascii="Calibri" w:hAnsi="Calibri"/>
          <w:b/>
          <w:i w:val="0"/>
          <w:color w:val="0F3A6E"/>
          <w:sz w:val="56"/>
        </w:rPr>
        <w:t>PM Excellence</w:t>
      </w:r>
    </w:p>
    <w:p>
      <w:pPr>
        <w:jc w:val="center"/>
        <w:spacing w:before="0" w:after="400"/>
      </w:pPr>
      <w:r>
        <w:rPr>
          <w:rFonts w:ascii="Calibri" w:hAnsi="Calibri"/>
          <w:b w:val="0"/>
          <w:i/>
          <w:color w:val="555555"/>
          <w:sz w:val="26"/>
        </w:rPr>
        <w:t>Анализ деятельности организации, конъюнктуры рынка</w:t>
        <w:br/>
        <w:t>и конкурентоспособности услуг</w:t>
      </w:r>
    </w:p>
    <w:p>
      <w:pPr>
        <w:jc w:val="center"/>
        <w:spacing w:before="0" w:after="400"/>
        <w:pBdr>
          <w:bottom w:val="single" w:sz="12" w:space="1" w:color="0F3A6E"/>
        </w:pBdr>
      </w:pP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Дата подготовки: </w:t>
      </w:r>
      <w:r>
        <w:rPr>
          <w:rFonts w:ascii="Calibri" w:hAnsi="Calibri"/>
          <w:b w:val="0"/>
          <w:i w:val="0"/>
          <w:color w:val="555555"/>
          <w:sz w:val="22"/>
        </w:rPr>
        <w:t>Апрель 2026</w:t>
      </w: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Источник данных: </w:t>
      </w:r>
      <w:r>
        <w:rPr>
          <w:rFonts w:ascii="Calibri" w:hAnsi="Calibri"/>
          <w:b w:val="0"/>
          <w:i w:val="0"/>
          <w:color w:val="555555"/>
          <w:sz w:val="22"/>
        </w:rPr>
        <w:t>pmexcellence.com, открытые источники</w:t>
      </w: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Статус: </w:t>
      </w:r>
      <w:r>
        <w:rPr>
          <w:rFonts w:ascii="Calibri" w:hAnsi="Calibri"/>
          <w:b w:val="0"/>
          <w:i w:val="0"/>
          <w:color w:val="555555"/>
          <w:sz w:val="22"/>
        </w:rPr>
        <w:t>Аналитический документ</w:t>
      </w:r>
    </w:p>
    <w:p>
      <w:r>
        <w:br w:type="page"/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1. ПРОФИЛЬ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953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Данные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Полное наименование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ООО «ПИЭМСИ» / PM Excellence</w:t>
            </w:r>
          </w:p>
        </w:tc>
      </w:tr>
      <w:tr>
        <w:tc>
          <w:tcPr>
            <w:tcW w:type="dxa" w:w="311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Позиционирование</w:t>
            </w:r>
          </w:p>
        </w:tc>
        <w:tc>
          <w:tcPr>
            <w:tcW w:type="dxa" w:w="5953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Первый PMC | EPC подрядчик в России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Опыт на рынке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С 2002 года (20+ лет)</w:t>
            </w:r>
          </w:p>
        </w:tc>
      </w:tr>
      <w:tr>
        <w:tc>
          <w:tcPr>
            <w:tcW w:type="dxa" w:w="311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Команда</w:t>
            </w:r>
          </w:p>
        </w:tc>
        <w:tc>
          <w:tcPr>
            <w:tcW w:type="dxa" w:w="5953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60+ штатных специалистов, резерв 700+ профессионалов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Офисы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Москва (Новослободская, 20 и Каланчевская, 15), Владивосток</w:t>
            </w:r>
          </w:p>
        </w:tc>
      </w:tr>
      <w:tr>
        <w:tc>
          <w:tcPr>
            <w:tcW w:type="dxa" w:w="311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Телефон</w:t>
            </w:r>
          </w:p>
        </w:tc>
        <w:tc>
          <w:tcPr>
            <w:tcW w:type="dxa" w:w="5953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+7 (499) 938-54-39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Email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pmc@pmexcellence.com · info@pmce.ru</w:t>
            </w:r>
          </w:p>
        </w:tc>
      </w:tr>
      <w:tr>
        <w:tc>
          <w:tcPr>
            <w:tcW w:type="dxa" w:w="311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Сайт</w:t>
            </w:r>
          </w:p>
        </w:tc>
        <w:tc>
          <w:tcPr>
            <w:tcW w:type="dxa" w:w="5953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pmexcellence.com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/>
          <w:i w:val="0"/>
          <w:color w:val="1A1A2E"/>
          <w:sz w:val="21"/>
        </w:rPr>
        <w:t xml:space="preserve">Миссия: </w:t>
      </w:r>
      <w:r>
        <w:rPr>
          <w:rFonts w:ascii="Calibri" w:hAnsi="Calibri"/>
          <w:b w:val="0"/>
          <w:i/>
          <w:color w:val="555555"/>
          <w:sz w:val="21"/>
        </w:rPr>
        <w:t>«Суверенитет страны во многом определяется успешными мегапроектами. Мы вносим свой профессиональный вклад в процветание России.»</w:t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2. УСЛУГИ И ПРОДУКТОВАЯ МАТРИЦА</w:t>
      </w:r>
    </w:p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2.1 Флагманские услуги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Услуга</w:t>
            </w:r>
          </w:p>
        </w:tc>
        <w:tc>
          <w:tcPr>
            <w:tcW w:type="dxa" w:w="481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Описание</w:t>
            </w:r>
          </w:p>
        </w:tc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Модель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PMC (Project Management Contractor)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Управление крупными и мегапроектами от стадии планирования до передачи в эксплуатацию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Аутсорсинг функции заказчика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EPC-контракты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Комплексный подряд: проектирование + поставки + строительство</w:t>
            </w:r>
          </w:p>
        </w:tc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Full-cycle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PM Check-up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Диагностика системы управления проектом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Разовая услуга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Риск-сессии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Выявление и митигация рисков для проектных команд</w:t>
            </w:r>
          </w:p>
        </w:tc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Воркшоп / фасилитация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Консалтинг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Методологическое сопровождение корпоративных СУП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B2B консалтинг</w:t>
            </w:r>
          </w:p>
        </w:tc>
      </w:tr>
    </w:tbl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2.2 Ценообразование</w:t>
      </w:r>
    </w:p>
    <w:p>
      <w:pPr>
        <w:spacing w:before="60" w:after="60"/>
      </w:pPr>
      <w:r>
        <w:rPr>
          <w:rFonts w:ascii="Calibri" w:hAnsi="Calibri"/>
          <w:b/>
          <w:i w:val="0"/>
          <w:color w:val="1A1A2E"/>
          <w:sz w:val="21"/>
        </w:rPr>
        <w:t xml:space="preserve">Стоимость PMC-сервиса: </w:t>
      </w:r>
      <w:r>
        <w:rPr>
          <w:rFonts w:ascii="Calibri" w:hAnsi="Calibri"/>
          <w:b w:val="0"/>
          <w:i w:val="0"/>
          <w:color w:val="2D2D2D"/>
          <w:sz w:val="21"/>
        </w:rPr>
        <w:t>1–5% от бюджета проекта.</w:t>
      </w:r>
    </w:p>
    <w:p>
      <w:pPr>
        <w:spacing w:before="40" w:after="100"/>
      </w:pPr>
      <w:r>
        <w:rPr>
          <w:rFonts w:ascii="Calibri" w:hAnsi="Calibri"/>
          <w:b/>
          <w:i w:val="0"/>
          <w:color w:val="1A1A2E"/>
          <w:sz w:val="21"/>
        </w:rPr>
        <w:t xml:space="preserve">Минимальный порог: </w:t>
      </w:r>
      <w:r>
        <w:rPr>
          <w:rFonts w:ascii="Calibri" w:hAnsi="Calibri"/>
          <w:b w:val="0"/>
          <w:i w:val="0"/>
          <w:color w:val="2D2D2D"/>
          <w:sz w:val="21"/>
        </w:rPr>
        <w:t>освоение от 1 млрд руб./год — минимальный годовой чек 10–50 млн руб. Компания работает исключительно в сегменте крупного B2B.</w:t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3. ЦЕЛЕВАЯ АУДИТОРИЯ И КЛИЕНТСКАЯ БАЗА</w:t>
      </w:r>
    </w:p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3.1 Клиенты по отраслям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Отрасль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Ключевые клиенты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Нефть и газ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Газпром Инвест, РосНефть, Газпром Нефть, TNK, Сахалинская Энергия, Татнефть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Ритейл / логистика</w:t>
            </w:r>
          </w:p>
        </w:tc>
        <w:tc>
          <w:tcPr>
            <w:tcW w:type="dxa" w:w="7370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X5 Group (строительство РЦ на Дальнем Востоке, завершено дек. 2025)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Энергетика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ФСК ЕЭС, энергетические корпорации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Металлургия / горная</w:t>
            </w:r>
          </w:p>
        </w:tc>
        <w:tc>
          <w:tcPr>
            <w:tcW w:type="dxa" w:w="7370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Северсталь, СУЭК, Evraz Group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Инфраструктура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Морские/речные порты, телекоммуникации</w:t>
            </w:r>
          </w:p>
        </w:tc>
      </w:tr>
    </w:tbl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3.2 Портрет заказчика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Крупная корпорация с инвестпрограммой от 1 млрд руб./год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Не имеет собственной зрелой функции управления капитальными проектами — или разочаровалась в её эффективности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Нуждается в независимом представителе интересов заказчика перед генподрядчиком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Ориентирована на результат с измеримыми KPI (сроки, бюджет, качество)</w:t>
      </w:r>
    </w:p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4. УТП И ПОЗИЦИОНИРОВАНИЕ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Дифференциатор</w:t>
            </w:r>
          </w:p>
        </w:tc>
        <w:tc>
          <w:tcPr>
            <w:tcW w:type="dxa" w:w="5386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Ценность для заказчика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1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Пионерство — первый PMC-подрядчик в России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Компания создала рынок: максимальный опыт и экспертиза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2</w:t>
            </w:r>
          </w:p>
        </w:tc>
        <w:tc>
          <w:tcPr>
            <w:tcW w:type="dxa" w:w="396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Независимость от генподрядчика</w:t>
            </w:r>
          </w:p>
        </w:tc>
        <w:tc>
          <w:tcPr>
            <w:tcW w:type="dxa" w:w="5386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Объективность: представляет интересы заказчика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Практическая ответственность за результат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«Консультировать и делать — разные вещи»: полная ответственность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4</w:t>
            </w:r>
          </w:p>
        </w:tc>
        <w:tc>
          <w:tcPr>
            <w:tcW w:type="dxa" w:w="396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Сертифицированная экспертиза (PMP, PME, MBA)</w:t>
            </w:r>
          </w:p>
        </w:tc>
        <w:tc>
          <w:tcPr>
            <w:tcW w:type="dxa" w:w="5386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Снижает риски заказчика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5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Масштабируемый резерв 700+ специалистов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Закрывает возражение о наращивании команды под крупный проект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5. АНАЛИЗ РЫНКА</w:t>
      </w:r>
    </w:p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5.1 Общая конъюнктура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481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Данные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Объём рынка управленческого консалтинга РФ (2024)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~140 млрд руб. (+15% г/г)</w:t>
            </w:r>
          </w:p>
        </w:tc>
      </w:tr>
      <w:tr>
        <w:tc>
          <w:tcPr>
            <w:tcW w:type="dxa" w:w="5102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Технологический аудит и экспертиза документации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~19,7 млрд руб. (+38% г/г)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Прогноз роста рынка PMC-услуг (2025)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+17%</w:t>
            </w:r>
          </w:p>
        </w:tc>
      </w:tr>
      <w:tr>
        <w:tc>
          <w:tcPr>
            <w:tcW w:type="dxa" w:w="5102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Главный драйвер роста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Импортозамещение + уход западных компаний</w:t>
            </w:r>
          </w:p>
        </w:tc>
      </w:tr>
    </w:tbl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5.2 Ключевые тренды</w:t>
      </w:r>
    </w:p>
    <w:p>
      <w:pPr>
        <w:spacing w:before="40" w:after="40"/>
        <w:ind w:left="170"/>
      </w:pPr>
      <w:r>
        <w:rPr>
          <w:rFonts w:ascii="Calibri" w:hAnsi="Calibri"/>
          <w:b/>
          <w:i w:val="0"/>
          <w:color w:val="1A1A2E"/>
          <w:sz w:val="21"/>
        </w:rPr>
        <w:t xml:space="preserve">Уход западных игроков: </w:t>
      </w:r>
      <w:r>
        <w:rPr>
          <w:rFonts w:ascii="Calibri" w:hAnsi="Calibri"/>
          <w:b w:val="0"/>
          <w:i w:val="0"/>
          <w:color w:val="2D2D2D"/>
          <w:sz w:val="21"/>
        </w:rPr>
        <w:t>Worley Parsons, Wood, Technip покинули рынок — высвободился крупнейший PMC/EPCM-сегмент</w:t>
      </w:r>
    </w:p>
    <w:p>
      <w:pPr>
        <w:spacing w:before="40" w:after="40"/>
        <w:ind w:left="170"/>
      </w:pPr>
      <w:r>
        <w:rPr>
          <w:rFonts w:ascii="Calibri" w:hAnsi="Calibri"/>
          <w:b/>
          <w:i w:val="0"/>
          <w:color w:val="1A1A2E"/>
          <w:sz w:val="21"/>
        </w:rPr>
        <w:t xml:space="preserve">Государственные мегапроекты: </w:t>
      </w:r>
      <w:r>
        <w:rPr>
          <w:rFonts w:ascii="Calibri" w:hAnsi="Calibri"/>
          <w:b w:val="0"/>
          <w:i w:val="0"/>
          <w:color w:val="2D2D2D"/>
          <w:sz w:val="21"/>
        </w:rPr>
        <w:t>Рост капитальных инвестиций государства в инфраструктуру и импортозамещение</w:t>
      </w:r>
    </w:p>
    <w:p>
      <w:pPr>
        <w:spacing w:before="40" w:after="40"/>
        <w:ind w:left="170"/>
      </w:pPr>
      <w:r>
        <w:rPr>
          <w:rFonts w:ascii="Calibri" w:hAnsi="Calibri"/>
          <w:b/>
          <w:i w:val="0"/>
          <w:color w:val="1A1A2E"/>
          <w:sz w:val="21"/>
        </w:rPr>
        <w:t xml:space="preserve">Развитие Дальнего Востока: </w:t>
      </w:r>
      <w:r>
        <w:rPr>
          <w:rFonts w:ascii="Calibri" w:hAnsi="Calibri"/>
          <w:b w:val="0"/>
          <w:i w:val="0"/>
          <w:color w:val="2D2D2D"/>
          <w:sz w:val="21"/>
        </w:rPr>
        <w:t>Приоритетное госфинансирование — стратегический рынок сбыта</w:t>
      </w:r>
    </w:p>
    <w:p>
      <w:pPr>
        <w:spacing w:before="40" w:after="40"/>
        <w:ind w:left="170"/>
      </w:pPr>
      <w:r>
        <w:rPr>
          <w:rFonts w:ascii="Calibri" w:hAnsi="Calibri"/>
          <w:b/>
          <w:i w:val="0"/>
          <w:color w:val="1A1A2E"/>
          <w:sz w:val="21"/>
        </w:rPr>
        <w:t xml:space="preserve">Цифровизация управления: </w:t>
      </w:r>
      <w:r>
        <w:rPr>
          <w:rFonts w:ascii="Calibri" w:hAnsi="Calibri"/>
          <w:b w:val="0"/>
          <w:i w:val="0"/>
          <w:color w:val="2D2D2D"/>
          <w:sz w:val="21"/>
        </w:rPr>
        <w:t>Интеграция ИИ, BIM, 4D-моделирование, data-driven контроль проектов</w:t>
      </w:r>
    </w:p>
    <w:p>
      <w:pPr>
        <w:spacing w:before="40" w:after="40"/>
        <w:ind w:left="170"/>
      </w:pPr>
      <w:r>
        <w:rPr>
          <w:rFonts w:ascii="Calibri" w:hAnsi="Calibri"/>
          <w:b/>
          <w:i w:val="0"/>
          <w:color w:val="1A1A2E"/>
          <w:sz w:val="21"/>
        </w:rPr>
        <w:t xml:space="preserve">Кадровый дефицит: </w:t>
      </w:r>
      <w:r>
        <w:rPr>
          <w:rFonts w:ascii="Calibri" w:hAnsi="Calibri"/>
          <w:b w:val="0"/>
          <w:i w:val="0"/>
          <w:color w:val="2D2D2D"/>
          <w:sz w:val="21"/>
        </w:rPr>
        <w:t>Нехватка PM-специалистов усиливает спрос на аутсорсинг PMC</w:t>
      </w:r>
    </w:p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5.3 Возможности и угрозы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Возможности</w:t>
            </w:r>
          </w:p>
        </w:tc>
        <w:tc>
          <w:tcPr>
            <w:tcW w:type="dxa" w:w="481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Угрозы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Уход западных PMC-компаний освободил рынок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Корпорации создают внутренние PMO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Рост госинвестиций в инфраструктуру и ВПК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Кадровый дефицит PM-специалистов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Приоритетное развитие Дальнего Востока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Зависимость выручки от нефтегазового цикла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Диверсификация в ритейл, логистику, промстрой</w:t>
            </w:r>
          </w:p>
        </w:tc>
        <w:tc>
          <w:tcPr>
            <w:tcW w:type="dxa" w:w="4819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Ограниченная международная масштабируемость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Создание образовательного / цифрового продукта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Ценовое давление при снижении бюджетов клиентов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6. КОНКУРЕНТНЫЙ АНАЛИЗ</w:t>
      </w:r>
    </w:p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6.1 Карта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Компания</w:t>
            </w:r>
          </w:p>
        </w:tc>
        <w:tc>
          <w:tcPr>
            <w:tcW w:type="dxa" w:w="215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Сегмент</w:t>
            </w:r>
          </w:p>
        </w:tc>
        <w:tc>
          <w:tcPr>
            <w:tcW w:type="dxa" w:w="272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Позиционирование</w:t>
            </w:r>
          </w:p>
        </w:tc>
        <w:tc>
          <w:tcPr>
            <w:tcW w:type="dxa" w:w="334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Ключевое отличие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BaseLine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Управленческий консалтинг, PM-методология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Процессный консалтинг, выстраивание PM с нуля</w:t>
            </w:r>
          </w:p>
        </w:tc>
        <w:tc>
          <w:tcPr>
            <w:tcW w:type="dxa" w:w="334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BI-системы, методология и регламенты; база в Казани; нет операционной ответственности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Айбим</w:t>
            </w:r>
          </w:p>
        </w:tc>
        <w:tc>
          <w:tcPr>
            <w:tcW w:type="dxa" w:w="2154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BIM-консалтинг, цифровизация строительства</w:t>
            </w:r>
          </w:p>
        </w:tc>
        <w:tc>
          <w:tcPr>
            <w:tcW w:type="dxa" w:w="272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Цифровой партнёр девелоперов и промышленных компаний</w:t>
            </w:r>
          </w:p>
        </w:tc>
        <w:tc>
          <w:tcPr>
            <w:tcW w:type="dxa" w:w="334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14 лет, 400+ проектов; собственный продукт Plan-R; клиенты: Норникель, Газпром Нефть, СИБУР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IBCON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Технический заказчик, управление стройпроектами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«Цифровой технический заказчик» в промышленном строительстве</w:t>
            </w:r>
          </w:p>
        </w:tc>
        <w:tc>
          <w:tcPr>
            <w:tcW w:type="dxa" w:w="334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170+ специалистов; &gt;2 млн м² введено; BIM на AVEVA; резидент Сколково; Роснефть, ГПН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Проектная практика</w:t>
            </w:r>
          </w:p>
        </w:tc>
        <w:tc>
          <w:tcPr>
            <w:tcW w:type="dxa" w:w="2154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PM-консалтинг, автоматизация, обучение</w:t>
            </w:r>
          </w:p>
        </w:tc>
        <w:tc>
          <w:tcPr>
            <w:tcW w:type="dxa" w:w="272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Внедрение и автоматизация корпоративных СУП</w:t>
            </w:r>
          </w:p>
        </w:tc>
        <w:tc>
          <w:tcPr>
            <w:tcW w:type="dxa" w:w="334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ИТ-ориентация: внедрение ИСУП; обучение PM; без операционной ответственности за проект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PM Soft (ПМСОФТ)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PM-ПО + консалтинг + обучение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Проектный интегратор: ПО + консалтинг + обучение</w:t>
            </w:r>
          </w:p>
        </w:tc>
        <w:tc>
          <w:tcPr>
            <w:tcW w:type="dxa" w:w="334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С 1993 г.; Oracle Platinum Partner; 80 000+ обученных; 450+ проектов; импортозамещение ИСУП</w:t>
            </w:r>
          </w:p>
        </w:tc>
      </w:tr>
    </w:tbl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6.2 Сравнительная матрица конкурентоспособности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8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PM Excellence</w:t>
            </w:r>
          </w:p>
        </w:tc>
        <w:tc>
          <w:tcPr>
            <w:tcW w:type="dxa" w:w="124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124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Айбим</w:t>
            </w:r>
          </w:p>
        </w:tc>
        <w:tc>
          <w:tcPr>
            <w:tcW w:type="dxa" w:w="124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IBCON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Проект. практика</w:t>
            </w:r>
          </w:p>
        </w:tc>
        <w:tc>
          <w:tcPr>
            <w:tcW w:type="dxa" w:w="136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PM Soft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Операционная ответственность за проект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Независимость от генподрядчика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36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Фокус на мегапроекты (&gt;1 млрд руб.)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BIM / цифровизация строительства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36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Собственное ПО для управления проектами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Plan-R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AVEVA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PM.soft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Обучение / сертификация PM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</w:t>
            </w:r>
          </w:p>
        </w:tc>
        <w:tc>
          <w:tcPr>
            <w:tcW w:type="dxa" w:w="136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 (80 000+)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Мультиотраслевой охват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Широкий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Широкий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Девелопм./пром.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Нефтегаз/пром.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Широкий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Широкий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Пионерство в PMC-позиционировании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Первый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361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Импортозамещение / отечественные решения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Нейтрально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❌ Нет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⚠️ Частично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✅ Да (30+ лет)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7. ОЦЕНКА КОНКУРЕНТОСПОСОБНОСТИ</w:t>
      </w:r>
    </w:p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7.1 Сильные стороны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Уникальный первооткрывательский статус на рынке PMC в России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Реальные кейсы с топовыми корпорациями: Газпром, Роснефть, X5 Group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Чёткая бизнес-модель с прозрачным ценообразованием (% от бюджета)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Независимость от подрядчика как идеологический стержень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20+ лет практического опыта управления крупными проектами</w:t>
      </w:r>
    </w:p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7.2 Слабые стороны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Низкая цифровая видимость: технические ошибки сайта (403 на страницах услуг)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Нет детализированных публичных кейсов с цифрами результатов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Отсутствие собственного ПО — проигрывает Айбим, IBCON и ПМСОФТ по цифровому предложению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Нет образовательного продукта — Проектная практика и ПМСОФТ монетизируют эту нишу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Концентрация в нефтегазовом сегменте: высокая зависимость от одной отрасли</w:t>
      </w:r>
    </w:p>
    <w:p/>
    <w:p>
      <w:pPr>
        <w:spacing w:before="180" w:after="60"/>
      </w:pPr>
      <w:r>
        <w:rPr>
          <w:rFonts w:ascii="Calibri" w:hAnsi="Calibri"/>
          <w:b/>
          <w:i w:val="0"/>
          <w:color w:val="0F3A6E"/>
          <w:sz w:val="24"/>
        </w:rPr>
        <w:t>7.3 Возможности для роста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Промышленное строительство, ВПК, логистика — диверсификация (X5 Group — прецедент)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Создание собственного образовательного продукта или PM-инструментария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Партнёрство с Айбим/IBCON по BIM — закрыть цифровой пробел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Системный контент-маркетинг: кейсы с цифрами — ключевой инструмент B2B-лидогенерации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Конференционная активность: PMI Russia Chapter, ПМЭФ, отраслевые форумы</w:t>
      </w:r>
    </w:p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8. МАРКЕТИНГОВЫЕ РЕКОМЕНДАЦИИ</w:t>
      </w:r>
    </w:p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Рыночная позиция: PM Excellence занимает нишевую, но стратегически ценную позицию первопроходца PMC-рынка в России. В условиях ухода западных конкурентов и роста государственных мегапроектов — это исторически лучший момент для агрессивного роста и захвата высвободившейся доли рынка.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Приоритет</w:t>
            </w:r>
          </w:p>
        </w:tc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Направление</w:t>
            </w:r>
          </w:p>
        </w:tc>
        <w:tc>
          <w:tcPr>
            <w:tcW w:type="dxa" w:w="6066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Конкретные действия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1 — Высокий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Контент-стратегия</w:t>
            </w:r>
          </w:p>
        </w:tc>
        <w:tc>
          <w:tcPr>
            <w:tcW w:type="dxa" w:w="606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Детализировать кейсы: бюджет проекта, % экономии, сроки. Публиковать на сайте, vc.ru, Telegram</w:t>
            </w:r>
          </w:p>
        </w:tc>
      </w:tr>
      <w:tr>
        <w:tc>
          <w:tcPr>
            <w:tcW w:type="dxa" w:w="158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2 — Высокий</w:t>
            </w:r>
          </w:p>
        </w:tc>
        <w:tc>
          <w:tcPr>
            <w:tcW w:type="dxa" w:w="226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Цифровая инфраструктура</w:t>
            </w:r>
          </w:p>
        </w:tc>
        <w:tc>
          <w:tcPr>
            <w:tcW w:type="dxa" w:w="6066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Устранить технические ошибки сайта (403). SEO-посадочные страницы под отраслевые запросы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3 — Средний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PR в отраслевых СМИ</w:t>
            </w:r>
          </w:p>
        </w:tc>
        <w:tc>
          <w:tcPr>
            <w:tcW w:type="dxa" w:w="606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Neftegaz.ru, Коммерсант Промышленность, vc.ru — экспертные статьи от директоров практик</w:t>
            </w:r>
          </w:p>
        </w:tc>
      </w:tr>
      <w:tr>
        <w:tc>
          <w:tcPr>
            <w:tcW w:type="dxa" w:w="158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4 — Средний</w:t>
            </w:r>
          </w:p>
        </w:tc>
        <w:tc>
          <w:tcPr>
            <w:tcW w:type="dxa" w:w="226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Диверсификация клиентской базы</w:t>
            </w:r>
          </w:p>
        </w:tc>
        <w:tc>
          <w:tcPr>
            <w:tcW w:type="dxa" w:w="6066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Развитие в ритейл/логистику и промышленное строительство. Снизить долю нефтегаза до &lt;60%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5 — Средний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Конференционная активность</w:t>
            </w:r>
          </w:p>
        </w:tc>
        <w:tc>
          <w:tcPr>
            <w:tcW w:type="dxa" w:w="606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PMI Russia Chapter, ПМЭФ, отраслевые форумы — основной B2B-канал лидогенерации</w:t>
            </w:r>
          </w:p>
        </w:tc>
      </w:tr>
      <w:tr>
        <w:tc>
          <w:tcPr>
            <w:tcW w:type="dxa" w:w="1587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9"/>
              </w:rPr>
              <w:t>6 — Перспективный</w:t>
            </w:r>
          </w:p>
        </w:tc>
        <w:tc>
          <w:tcPr>
            <w:tcW w:type="dxa" w:w="2268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Цифровое партнёрство</w:t>
            </w:r>
          </w:p>
        </w:tc>
        <w:tc>
          <w:tcPr>
            <w:tcW w:type="dxa" w:w="6066"/>
            <w:shd w:val="clear" w:color="auto" w:fill="F0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9"/>
              </w:rPr>
              <w:t>Коллаборация с BIM-компаниями (Айбим / IBCON) — закрыть пробел в цифровом предложении</w:t>
            </w:r>
          </w:p>
        </w:tc>
      </w:tr>
    </w:tbl>
    <w:p/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9. ИСТОЧНИКИ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pmexcellence.com — официальный сайт PM Excellence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base-line.ru — BaseLine, управленческий консалтинг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bim-info.ru — Айбим, BIM-консалтинг и цифровизация строительства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ibcon.ru — IBCON, управление строительными проектами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pmpractice.ru — Проектная практика, PM-консалтинг и автоматизация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pmsoft.ru — ПМСОФТ, PM-ПО и консалтинг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tadviser.ru — рынок консалтинга России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trends.rbc.ru — тренды рынка консалтинга 2025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raex-rr.com — рейтинг консалтинговых компаний 2025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