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Enunțul domeniului proiectului</w:t>
      </w:r>
    </w:p>
    <w:p>
      <w:pPr>
        <w:jc w:val="center"/>
      </w:pPr>
      <w:r>
        <w:rPr>
          <w:sz w:val="24"/>
        </w:rPr>
        <w:t>Project scope statement</w:t>
      </w:r>
    </w:p>
    <w:tbl>
      <w:tblPr>
        <w:tblStyle w:val="TableGrid"/>
        <w:tblW w:type="auto" w:w="0"/>
        <w:jc w:val="center"/>
        <w:tblLook w:firstColumn="1" w:firstRow="1" w:lastColumn="0" w:lastRow="0" w:noHBand="0" w:noVBand="1" w:val="04A0"/>
      </w:tblPr>
      <w:tblGrid>
        <w:gridCol w:w="4873"/>
        <w:gridCol w:w="4873"/>
      </w:tblGrid>
      <w:tr>
        <w:tc>
          <w:tcPr>
            <w:tcW w:type="dxa" w:w="2835"/>
          </w:tcPr>
          <w:p>
            <w:r/>
            <w:r>
              <w:rPr>
                <w:b/>
                <w:sz w:val="20"/>
              </w:rPr>
              <w:t>Proiect</w:t>
            </w:r>
          </w:p>
        </w:tc>
        <w:tc>
          <w:tcPr>
            <w:tcW w:type="dxa" w:w="6576"/>
          </w:tcPr>
          <w:p>
            <w:r/>
            <w:r>
              <w:rPr>
                <w:sz w:val="20"/>
              </w:rPr>
              <w:t>Companion AI pentru îngrijirea pielii – aplicație mobilă cu analiza pielii, informații despre ingrediente și rutine personalizate (lucrare de licență și articol de cercetare)</w:t>
            </w:r>
          </w:p>
        </w:tc>
      </w:tr>
      <w:tr>
        <w:tc>
          <w:tcPr>
            <w:tcW w:type="dxa" w:w="2835"/>
          </w:tcPr>
          <w:p>
            <w:r/>
            <w:r>
              <w:rPr>
                <w:b/>
                <w:sz w:val="20"/>
              </w:rPr>
              <w:t>Disciplina</w:t>
            </w:r>
          </w:p>
        </w:tc>
        <w:tc>
          <w:tcPr>
            <w:tcW w:type="dxa" w:w="6576"/>
          </w:tcPr>
          <w:p>
            <w:r/>
            <w:r>
              <w:rPr>
                <w:sz w:val="20"/>
              </w:rPr>
              <w:t>Managementul proiectelor software (anul IV, semestrul 1)</w:t>
            </w:r>
          </w:p>
        </w:tc>
      </w:tr>
      <w:tr>
        <w:tc>
          <w:tcPr>
            <w:tcW w:type="dxa" w:w="2835"/>
          </w:tcPr>
          <w:p>
            <w:r/>
            <w:r>
              <w:rPr>
                <w:b/>
                <w:sz w:val="20"/>
              </w:rPr>
              <w:t>Instituție</w:t>
            </w:r>
          </w:p>
        </w:tc>
        <w:tc>
          <w:tcPr>
            <w:tcW w:type="dxa" w:w="6576"/>
          </w:tcPr>
          <w:p>
            <w:r/>
            <w:r>
              <w:rPr>
                <w:sz w:val="20"/>
              </w:rPr>
              <w:t>Universitatea din Craiova, Facultatea de Automatică, Calculatoare și Electronică</w:t>
            </w:r>
          </w:p>
        </w:tc>
      </w:tr>
      <w:tr>
        <w:tc>
          <w:tcPr>
            <w:tcW w:type="dxa" w:w="2835"/>
          </w:tcPr>
          <w:p>
            <w:r/>
            <w:r>
              <w:rPr>
                <w:b/>
                <w:sz w:val="20"/>
              </w:rPr>
              <w:t>Autor / manager de proiect</w:t>
            </w:r>
          </w:p>
        </w:tc>
        <w:tc>
          <w:tcPr>
            <w:tcW w:type="dxa" w:w="6576"/>
          </w:tcPr>
          <w:p>
            <w:r/>
            <w:r>
              <w:rPr>
                <w:sz w:val="20"/>
              </w:rPr>
              <w:t>Daria Giotina</w:t>
            </w:r>
          </w:p>
        </w:tc>
      </w:tr>
      <w:tr>
        <w:tc>
          <w:tcPr>
            <w:tcW w:type="dxa" w:w="2835"/>
          </w:tcPr>
          <w:p>
            <w:r/>
            <w:r>
              <w:rPr>
                <w:b/>
                <w:sz w:val="20"/>
              </w:rPr>
              <w:t>Profesor coordonator (sponsor)</w:t>
            </w:r>
          </w:p>
        </w:tc>
        <w:tc>
          <w:tcPr>
            <w:tcW w:type="dxa" w:w="6576"/>
          </w:tcPr>
          <w:p>
            <w:r/>
            <w:r>
              <w:rPr>
                <w:sz w:val="20"/>
              </w:rPr>
              <w:t>Stefan Popescu</w:t>
            </w:r>
          </w:p>
        </w:tc>
      </w:tr>
      <w:tr>
        <w:tc>
          <w:tcPr>
            <w:tcW w:type="dxa" w:w="2835"/>
          </w:tcPr>
          <w:p>
            <w:r/>
            <w:r>
              <w:rPr>
                <w:b/>
                <w:sz w:val="20"/>
              </w:rPr>
              <w:t>Versiune / dată</w:t>
            </w:r>
          </w:p>
        </w:tc>
        <w:tc>
          <w:tcPr>
            <w:tcW w:type="dxa" w:w="6576"/>
          </w:tcPr>
          <w:p>
            <w:r/>
            <w:r>
              <w:rPr>
                <w:sz w:val="20"/>
              </w:rPr>
              <w:t>1.0 / 15.10.2026</w:t>
            </w:r>
          </w:p>
        </w:tc>
      </w:tr>
    </w:tbl>
    <w:p/>
    <w:p>
      <w:r>
        <w:rPr>
          <w:i/>
        </w:rPr>
        <w:t>Documentul descrie ce livrează proiectul și ce nu livrează, pe baza cartei proiectului din 09.10.2026. Împreună cu WBS-ul și dicționarul WBS (documentul WBS_Giotina.docx) formează baza de referință a domeniului. După aprobare, orice modificare trece printr-o cerere de schimbare (analiza impactului asupra timpului, efortului și calității, decizia coordonatorului, actualizarea documentelor).</w:t>
      </w:r>
    </w:p>
    <w:p>
      <w:pPr>
        <w:pStyle w:val="Heading1"/>
      </w:pPr>
      <w:r>
        <w:t>1. Scopul proiectului (justificarea)</w:t>
      </w:r>
    </w:p>
    <w:p>
      <w:r>
        <w:rPr>
          <w:i w:val="0"/>
        </w:rPr>
        <w:t>Problemele obișnuite ale pielii (acnee, eczemă, roșeață) sunt fotografiate de utilizatori cu telefoane obișnuite, însă cercetarea s-a concentrat mai ales pe cancerul de piele și pe imagini clinice. Aplicațiile de skincare pentru consumatori cer de obicei un chestionar, dar utilizatorii reali sar peste întrebări, iar seturile publice de imagini acoperă inegal tonurile de piele, astfel încât o acuratețe medie poate ascunde un comportament inechitabil pentru pielea închisă la culoare. În plus, listele de ingrediente de pe produse sunt greu de înțeles pentru un nespecialist.</w:t>
      </w:r>
    </w:p>
    <w:p>
      <w:r>
        <w:rPr>
          <w:i w:val="0"/>
        </w:rPr>
        <w:t>Proiectul răspunde acestor nevoi printr-o aplicație mobilă strict informativă (nu este dispozitiv medical) și printr-un studiu de cercetare care verifică, pe setul de date public SCIN (Google), dacă un chestionar scurt ajută clasificarea față de fotografia singură, ce se întâmplă când lipsesc răspunsuri și dacă efectele sunt aceleași pe toate tonurile de piele.</w:t>
      </w:r>
    </w:p>
    <w:p>
      <w:pPr>
        <w:pStyle w:val="Heading1"/>
      </w:pPr>
      <w:r>
        <w:t>2. Obiectivele (SMART)</w:t>
      </w:r>
    </w:p>
    <w:p>
      <w:r>
        <w:rPr>
          <w:i w:val="0"/>
        </w:rPr>
        <w:t>SMART = specific, măsurabil, realizabil, relevant și încadrat în timp. Lunile M1–M10 sunt lunile proiectului: M1 = august 2026, …, M10 = mai 2027.</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D6E4F0"/>
          </w:tcPr>
          <w:p>
            <w:r/>
            <w:r>
              <w:rPr>
                <w:b/>
                <w:sz w:val="20"/>
              </w:rPr>
              <w:t>Cod</w:t>
            </w:r>
          </w:p>
        </w:tc>
        <w:tc>
          <w:tcPr>
            <w:tcW w:type="dxa" w:w="6690"/>
            <w:shd w:val="clear" w:color="auto" w:fill="D6E4F0"/>
          </w:tcPr>
          <w:p>
            <w:r/>
            <w:r>
              <w:rPr>
                <w:b/>
                <w:sz w:val="20"/>
              </w:rPr>
              <w:t>Obiectiv</w:t>
            </w:r>
          </w:p>
        </w:tc>
        <w:tc>
          <w:tcPr>
            <w:tcW w:type="dxa" w:w="2041"/>
            <w:shd w:val="clear" w:color="auto" w:fill="D6E4F0"/>
          </w:tcPr>
          <w:p>
            <w:r/>
            <w:r>
              <w:rPr>
                <w:b/>
                <w:sz w:val="20"/>
              </w:rPr>
              <w:t>Termen</w:t>
            </w:r>
          </w:p>
        </w:tc>
      </w:tr>
      <w:tr>
        <w:tc>
          <w:tcPr>
            <w:tcW w:type="dxa" w:w="680"/>
          </w:tcPr>
          <w:p>
            <w:r/>
            <w:r>
              <w:rPr>
                <w:sz w:val="20"/>
              </w:rPr>
              <w:t>O1</w:t>
            </w:r>
          </w:p>
        </w:tc>
        <w:tc>
          <w:tcPr>
            <w:tcW w:type="dxa" w:w="6690"/>
          </w:tcPr>
          <w:p>
            <w:r/>
            <w:r>
              <w:rPr>
                <w:sz w:val="20"/>
              </w:rPr>
              <w:t>Rezultatele experimentelor E1–E4 pe SCIN (10 seed-uri, intervale de încredere bootstrap de 95%, rezultate pe grupe de ton de piele) sunt reproductibile din scripturile din depozit.</w:t>
            </w:r>
          </w:p>
        </w:tc>
        <w:tc>
          <w:tcPr>
            <w:tcW w:type="dxa" w:w="2041"/>
          </w:tcPr>
          <w:p>
            <w:r/>
            <w:r>
              <w:rPr>
                <w:sz w:val="20"/>
              </w:rPr>
              <w:t>30.11.2026 (M4)</w:t>
            </w:r>
          </w:p>
        </w:tc>
      </w:tr>
      <w:tr>
        <w:tc>
          <w:tcPr>
            <w:tcW w:type="dxa" w:w="680"/>
          </w:tcPr>
          <w:p>
            <w:r/>
            <w:r>
              <w:rPr>
                <w:sz w:val="20"/>
              </w:rPr>
              <w:t>O2</w:t>
            </w:r>
          </w:p>
        </w:tc>
        <w:tc>
          <w:tcPr>
            <w:tcW w:type="dxa" w:w="6690"/>
          </w:tcPr>
          <w:p>
            <w:r/>
            <w:r>
              <w:rPr>
                <w:sz w:val="20"/>
              </w:rPr>
              <w:t>Articolul de cercetare (EN), aprobat de coordonator, este trimis la revista aleasă împreună cu acesta.</w:t>
            </w:r>
          </w:p>
        </w:tc>
        <w:tc>
          <w:tcPr>
            <w:tcW w:type="dxa" w:w="2041"/>
          </w:tcPr>
          <w:p>
            <w:r/>
            <w:r>
              <w:rPr>
                <w:sz w:val="20"/>
              </w:rPr>
              <w:t>31.12.2026 (M5)</w:t>
            </w:r>
          </w:p>
        </w:tc>
      </w:tr>
      <w:tr>
        <w:tc>
          <w:tcPr>
            <w:tcW w:type="dxa" w:w="680"/>
          </w:tcPr>
          <w:p>
            <w:r/>
            <w:r>
              <w:rPr>
                <w:sz w:val="20"/>
              </w:rPr>
              <w:t>O3</w:t>
            </w:r>
          </w:p>
        </w:tc>
        <w:tc>
          <w:tcPr>
            <w:tcW w:type="dxa" w:w="6690"/>
          </w:tcPr>
          <w:p>
            <w:r/>
            <w:r>
              <w:rPr>
                <w:sz w:val="20"/>
              </w:rPr>
              <w:t>MVP-ul rulează pe un telefon Android real: analiza pielii (foto + chestionar) cu rezultat în cel mult 10 s, scanarea codului de bare, rutine, jurnal, poze de progres și mementouri.</w:t>
            </w:r>
          </w:p>
        </w:tc>
        <w:tc>
          <w:tcPr>
            <w:tcW w:type="dxa" w:w="2041"/>
          </w:tcPr>
          <w:p>
            <w:r/>
            <w:r>
              <w:rPr>
                <w:sz w:val="20"/>
              </w:rPr>
              <w:t>31.03.2027 (M8)</w:t>
            </w:r>
          </w:p>
        </w:tc>
      </w:tr>
      <w:tr>
        <w:tc>
          <w:tcPr>
            <w:tcW w:type="dxa" w:w="680"/>
          </w:tcPr>
          <w:p>
            <w:r/>
            <w:r>
              <w:rPr>
                <w:sz w:val="20"/>
              </w:rPr>
              <w:t>O4</w:t>
            </w:r>
          </w:p>
        </w:tc>
        <w:tc>
          <w:tcPr>
            <w:tcW w:type="dxa" w:w="6690"/>
          </w:tcPr>
          <w:p>
            <w:r/>
            <w:r>
              <w:rPr>
                <w:sz w:val="20"/>
              </w:rPr>
              <w:t>Testul beta cu cel puțin 5 utilizatori este încheiat, cu zero defecte critice deschise.</w:t>
            </w:r>
          </w:p>
        </w:tc>
        <w:tc>
          <w:tcPr>
            <w:tcW w:type="dxa" w:w="2041"/>
          </w:tcPr>
          <w:p>
            <w:r/>
            <w:r>
              <w:rPr>
                <w:sz w:val="20"/>
              </w:rPr>
              <w:t>30.04.2027 (M9)</w:t>
            </w:r>
          </w:p>
        </w:tc>
      </w:tr>
      <w:tr>
        <w:tc>
          <w:tcPr>
            <w:tcW w:type="dxa" w:w="680"/>
          </w:tcPr>
          <w:p>
            <w:r/>
            <w:r>
              <w:rPr>
                <w:sz w:val="20"/>
              </w:rPr>
              <w:t>O5</w:t>
            </w:r>
          </w:p>
        </w:tc>
        <w:tc>
          <w:tcPr>
            <w:tcW w:type="dxa" w:w="6690"/>
          </w:tcPr>
          <w:p>
            <w:r/>
            <w:r>
              <w:rPr>
                <w:sz w:val="20"/>
              </w:rPr>
              <w:t>Teza de licență (RO), aprobată de coordonator, este predată.</w:t>
            </w:r>
          </w:p>
        </w:tc>
        <w:tc>
          <w:tcPr>
            <w:tcW w:type="dxa" w:w="2041"/>
          </w:tcPr>
          <w:p>
            <w:r/>
            <w:r>
              <w:rPr>
                <w:sz w:val="20"/>
              </w:rPr>
              <w:t>31.05.2027 (M10)</w:t>
            </w:r>
          </w:p>
        </w:tc>
      </w:tr>
    </w:tbl>
    <w:p/>
    <w:p>
      <w:pPr>
        <w:pStyle w:val="Heading1"/>
      </w:pPr>
      <w:r>
        <w:t>3. Descrierea produsului și cerințele de nivel înalt</w:t>
      </w:r>
    </w:p>
    <w:p>
      <w:r>
        <w:rPr>
          <w:i w:val="0"/>
        </w:rPr>
        <w:t>Produsul are trei părți: aplicația mobilă (React Native + Expo), API-ul backend (FastAPI, interfața prin care aplicația citește și scrie date) cu baza de date MongoDB Atlas în UE, și serviciul ML de inferență, care primește fotografia și răspunsurile și întoarce categoria cea mai probabilă dintr-un set mic de clase (acnee, eczemă/dermatită, tip roșeață, altele), un scor de încredere, harta Grad-CAM (zonele imaginii care au contat cel mai mult pentru decizie) și ieșirea explicită „incert – consultați un specialist” când încrederea este scăzută.</w:t>
      </w:r>
    </w:p>
    <w:p>
      <w:r>
        <w:rPr>
          <w:i w:val="0"/>
        </w:rPr>
        <w:t>Cerințe de nivel înalt:</w:t>
      </w:r>
    </w:p>
    <w:p>
      <w:pPr>
        <w:pStyle w:val="ListBullet"/>
      </w:pPr>
      <w:r>
        <w:t>Contul utilizatorului: înregistrare, autentificare (parole Argon2id, tokenuri JWT cu reîmprospătare rotativă), consimțământ explicit pentru fotografii și date de sănătate.</w:t>
      </w:r>
    </w:p>
    <w:p>
      <w:pPr>
        <w:pStyle w:val="ListBullet"/>
      </w:pPr>
      <w:r>
        <w:t>Analiza pielii din fotografie + chestionar scurt; fiecare întrebare se poate sări, iar răspunsul lipsă se înregistrează explicit ca lipsă.</w:t>
      </w:r>
    </w:p>
    <w:p>
      <w:pPr>
        <w:pStyle w:val="ListBullet"/>
      </w:pPr>
      <w:r>
        <w:t>Scanarea codului de bare al unui produs și afișarea ingredientelor cu funcția și marcajele lor de risc (surse: Open Beauty Facts, CosIng, CIR).</w:t>
      </w:r>
    </w:p>
    <w:p>
      <w:pPr>
        <w:pStyle w:val="ListBullet"/>
      </w:pPr>
      <w:r>
        <w:t>Constructorul de rutine (dimineață/seară), jurnalul zilnic, pozele de progres și mementourile.</w:t>
      </w:r>
    </w:p>
    <w:p>
      <w:pPr>
        <w:pStyle w:val="ListBullet"/>
      </w:pPr>
      <w:r>
        <w:t>Drepturile GDPR din aplicație: exportul datelor și ștergerea contului împreună cu toate fotografiile.</w:t>
      </w:r>
    </w:p>
    <w:p>
      <w:pPr>
        <w:pStyle w:val="ListBullet"/>
      </w:pPr>
      <w:r>
        <w:t>Niciun text de diagnostic sau tratament; fiecare rezultat afișează scorul de încredere și avertismentul că aplicația are rol informativ.</w:t>
      </w:r>
    </w:p>
    <w:p>
      <w:pPr>
        <w:pStyle w:val="Heading1"/>
      </w:pPr>
      <w:r>
        <w:t>4. Livrabilele</w:t>
      </w:r>
    </w:p>
    <w:p>
      <w:r>
        <w:rPr>
          <w:i w:val="0"/>
        </w:rPr>
        <w:t>Livrabilele de mai jos devin ramurile de nivel 2 ale WBS-ului (codul WBS este în paranteză).</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D6E4F0"/>
          </w:tcPr>
          <w:p>
            <w:r/>
            <w:r>
              <w:rPr>
                <w:b/>
                <w:sz w:val="20"/>
              </w:rPr>
              <w:t>Cod</w:t>
            </w:r>
          </w:p>
        </w:tc>
        <w:tc>
          <w:tcPr>
            <w:tcW w:type="dxa" w:w="7030"/>
            <w:shd w:val="clear" w:color="auto" w:fill="D6E4F0"/>
          </w:tcPr>
          <w:p>
            <w:r/>
            <w:r>
              <w:rPr>
                <w:b/>
                <w:sz w:val="20"/>
              </w:rPr>
              <w:t>Livrabil</w:t>
            </w:r>
          </w:p>
        </w:tc>
        <w:tc>
          <w:tcPr>
            <w:tcW w:type="dxa" w:w="1701"/>
            <w:shd w:val="clear" w:color="auto" w:fill="D6E4F0"/>
          </w:tcPr>
          <w:p>
            <w:r/>
            <w:r>
              <w:rPr>
                <w:b/>
                <w:sz w:val="20"/>
              </w:rPr>
              <w:t>Tip</w:t>
            </w:r>
          </w:p>
        </w:tc>
      </w:tr>
      <w:tr>
        <w:tc>
          <w:tcPr>
            <w:tcW w:type="dxa" w:w="680"/>
          </w:tcPr>
          <w:p>
            <w:r/>
            <w:r>
              <w:rPr>
                <w:sz w:val="20"/>
              </w:rPr>
              <w:t>L1</w:t>
            </w:r>
          </w:p>
        </w:tc>
        <w:tc>
          <w:tcPr>
            <w:tcW w:type="dxa" w:w="7030"/>
          </w:tcPr>
          <w:p>
            <w:r/>
            <w:r>
              <w:rPr>
                <w:sz w:val="20"/>
              </w:rPr>
              <w:t>Aplicația mobilă instalată și codul ei sursă (1.6, 1.10)</w:t>
            </w:r>
          </w:p>
        </w:tc>
        <w:tc>
          <w:tcPr>
            <w:tcW w:type="dxa" w:w="1701"/>
          </w:tcPr>
          <w:p>
            <w:r/>
            <w:r>
              <w:rPr>
                <w:sz w:val="20"/>
              </w:rPr>
              <w:t>final</w:t>
            </w:r>
          </w:p>
        </w:tc>
      </w:tr>
      <w:tr>
        <w:tc>
          <w:tcPr>
            <w:tcW w:type="dxa" w:w="680"/>
          </w:tcPr>
          <w:p>
            <w:r/>
            <w:r>
              <w:rPr>
                <w:sz w:val="20"/>
              </w:rPr>
              <w:t>L2</w:t>
            </w:r>
          </w:p>
        </w:tc>
        <w:tc>
          <w:tcPr>
            <w:tcW w:type="dxa" w:w="7030"/>
          </w:tcPr>
          <w:p>
            <w:r/>
            <w:r>
              <w:rPr>
                <w:sz w:val="20"/>
              </w:rPr>
              <w:t>API-ul backend, cu stocarea fotografiilor în UE (1.5)</w:t>
            </w:r>
          </w:p>
        </w:tc>
        <w:tc>
          <w:tcPr>
            <w:tcW w:type="dxa" w:w="1701"/>
          </w:tcPr>
          <w:p>
            <w:r/>
            <w:r>
              <w:rPr>
                <w:sz w:val="20"/>
              </w:rPr>
              <w:t>final</w:t>
            </w:r>
          </w:p>
        </w:tc>
      </w:tr>
      <w:tr>
        <w:tc>
          <w:tcPr>
            <w:tcW w:type="dxa" w:w="680"/>
          </w:tcPr>
          <w:p>
            <w:r/>
            <w:r>
              <w:rPr>
                <w:sz w:val="20"/>
              </w:rPr>
              <w:t>L3</w:t>
            </w:r>
          </w:p>
        </w:tc>
        <w:tc>
          <w:tcPr>
            <w:tcW w:type="dxa" w:w="7030"/>
          </w:tcPr>
          <w:p>
            <w:r/>
            <w:r>
              <w:rPr>
                <w:sz w:val="20"/>
              </w:rPr>
              <w:t>Componenta ML: setul de date pregătit, modelele, serviciul de inferență, rapoartele E1–E6 (1.4)</w:t>
            </w:r>
          </w:p>
        </w:tc>
        <w:tc>
          <w:tcPr>
            <w:tcW w:type="dxa" w:w="1701"/>
          </w:tcPr>
          <w:p>
            <w:r/>
            <w:r>
              <w:rPr>
                <w:sz w:val="20"/>
              </w:rPr>
              <w:t>final</w:t>
            </w:r>
          </w:p>
        </w:tc>
      </w:tr>
      <w:tr>
        <w:tc>
          <w:tcPr>
            <w:tcW w:type="dxa" w:w="680"/>
          </w:tcPr>
          <w:p>
            <w:r/>
            <w:r>
              <w:rPr>
                <w:sz w:val="20"/>
              </w:rPr>
              <w:t>L4</w:t>
            </w:r>
          </w:p>
        </w:tc>
        <w:tc>
          <w:tcPr>
            <w:tcW w:type="dxa" w:w="7030"/>
          </w:tcPr>
          <w:p>
            <w:r/>
            <w:r>
              <w:rPr>
                <w:sz w:val="20"/>
              </w:rPr>
              <w:t>Articolul de cercetare în limba engleză (1.8)</w:t>
            </w:r>
          </w:p>
        </w:tc>
        <w:tc>
          <w:tcPr>
            <w:tcW w:type="dxa" w:w="1701"/>
          </w:tcPr>
          <w:p>
            <w:r/>
            <w:r>
              <w:rPr>
                <w:sz w:val="20"/>
              </w:rPr>
              <w:t>final</w:t>
            </w:r>
          </w:p>
        </w:tc>
      </w:tr>
      <w:tr>
        <w:tc>
          <w:tcPr>
            <w:tcW w:type="dxa" w:w="680"/>
          </w:tcPr>
          <w:p>
            <w:r/>
            <w:r>
              <w:rPr>
                <w:sz w:val="20"/>
              </w:rPr>
              <w:t>L5</w:t>
            </w:r>
          </w:p>
        </w:tc>
        <w:tc>
          <w:tcPr>
            <w:tcW w:type="dxa" w:w="7030"/>
          </w:tcPr>
          <w:p>
            <w:r/>
            <w:r>
              <w:rPr>
                <w:sz w:val="20"/>
              </w:rPr>
              <w:t>Teza de licență în limba română și prezentarea pentru susținere (1.9)</w:t>
            </w:r>
          </w:p>
        </w:tc>
        <w:tc>
          <w:tcPr>
            <w:tcW w:type="dxa" w:w="1701"/>
          </w:tcPr>
          <w:p>
            <w:r/>
            <w:r>
              <w:rPr>
                <w:sz w:val="20"/>
              </w:rPr>
              <w:t>final</w:t>
            </w:r>
          </w:p>
        </w:tc>
      </w:tr>
      <w:tr>
        <w:tc>
          <w:tcPr>
            <w:tcW w:type="dxa" w:w="680"/>
          </w:tcPr>
          <w:p>
            <w:r/>
            <w:r>
              <w:rPr>
                <w:sz w:val="20"/>
              </w:rPr>
              <w:t>L6</w:t>
            </w:r>
          </w:p>
        </w:tc>
        <w:tc>
          <w:tcPr>
            <w:tcW w:type="dxa" w:w="7030"/>
          </w:tcPr>
          <w:p>
            <w:r/>
            <w:r>
              <w:rPr>
                <w:sz w:val="20"/>
              </w:rPr>
              <w:t>Documentele de cercetare și proiectare: studiul bibliografic, întrebările de cercetare, cerințele, arhitectura, modelul de date, prototipul Figma, specificația API (1.2, 1.3)</w:t>
            </w:r>
          </w:p>
        </w:tc>
        <w:tc>
          <w:tcPr>
            <w:tcW w:type="dxa" w:w="1701"/>
          </w:tcPr>
          <w:p>
            <w:r/>
            <w:r>
              <w:rPr>
                <w:sz w:val="20"/>
              </w:rPr>
              <w:t>intermediar</w:t>
            </w:r>
          </w:p>
        </w:tc>
      </w:tr>
      <w:tr>
        <w:tc>
          <w:tcPr>
            <w:tcW w:type="dxa" w:w="680"/>
          </w:tcPr>
          <w:p>
            <w:r/>
            <w:r>
              <w:rPr>
                <w:sz w:val="20"/>
              </w:rPr>
              <w:t>L7</w:t>
            </w:r>
          </w:p>
        </w:tc>
        <w:tc>
          <w:tcPr>
            <w:tcW w:type="dxa" w:w="7030"/>
          </w:tcPr>
          <w:p>
            <w:r/>
            <w:r>
              <w:rPr>
                <w:sz w:val="20"/>
              </w:rPr>
              <w:t>Rapoartele de testare: integrare, end-to-end, securitate și GDPR, beta (1.7)</w:t>
            </w:r>
          </w:p>
        </w:tc>
        <w:tc>
          <w:tcPr>
            <w:tcW w:type="dxa" w:w="1701"/>
          </w:tcPr>
          <w:p>
            <w:r/>
            <w:r>
              <w:rPr>
                <w:sz w:val="20"/>
              </w:rPr>
              <w:t>intermediar</w:t>
            </w:r>
          </w:p>
        </w:tc>
      </w:tr>
      <w:tr>
        <w:tc>
          <w:tcPr>
            <w:tcW w:type="dxa" w:w="680"/>
          </w:tcPr>
          <w:p>
            <w:r/>
            <w:r>
              <w:rPr>
                <w:sz w:val="20"/>
              </w:rPr>
              <w:t>L8</w:t>
            </w:r>
          </w:p>
        </w:tc>
        <w:tc>
          <w:tcPr>
            <w:tcW w:type="dxa" w:w="7030"/>
          </w:tcPr>
          <w:p>
            <w:r/>
            <w:r>
              <w:rPr>
                <w:sz w:val="20"/>
              </w:rPr>
              <w:t>Manualul utilizatorului (1.10.3)</w:t>
            </w:r>
          </w:p>
        </w:tc>
        <w:tc>
          <w:tcPr>
            <w:tcW w:type="dxa" w:w="1701"/>
          </w:tcPr>
          <w:p>
            <w:r/>
            <w:r>
              <w:rPr>
                <w:sz w:val="20"/>
              </w:rPr>
              <w:t>documentare</w:t>
            </w:r>
          </w:p>
        </w:tc>
      </w:tr>
      <w:tr>
        <w:tc>
          <w:tcPr>
            <w:tcW w:type="dxa" w:w="680"/>
          </w:tcPr>
          <w:p>
            <w:r/>
            <w:r>
              <w:rPr>
                <w:sz w:val="20"/>
              </w:rPr>
              <w:t>L9</w:t>
            </w:r>
          </w:p>
        </w:tc>
        <w:tc>
          <w:tcPr>
            <w:tcW w:type="dxa" w:w="7030"/>
          </w:tcPr>
          <w:p>
            <w:r/>
            <w:r>
              <w:rPr>
                <w:sz w:val="20"/>
              </w:rPr>
              <w:t>Documentele de management: carta, enunțul domeniului, WBS-ul, rapoartele de stare (1.1)</w:t>
            </w:r>
          </w:p>
        </w:tc>
        <w:tc>
          <w:tcPr>
            <w:tcW w:type="dxa" w:w="1701"/>
          </w:tcPr>
          <w:p>
            <w:r/>
            <w:r>
              <w:rPr>
                <w:sz w:val="20"/>
              </w:rPr>
              <w:t>management</w:t>
            </w:r>
          </w:p>
        </w:tc>
      </w:tr>
    </w:tbl>
    <w:p/>
    <w:p>
      <w:pPr>
        <w:pStyle w:val="Heading1"/>
      </w:pPr>
      <w:r>
        <w:t>5. Domeniul inclus</w:t>
      </w:r>
    </w:p>
    <w:p>
      <w:pPr>
        <w:pStyle w:val="ListBullet"/>
      </w:pPr>
      <w:r>
        <w:t>Tot lucrul din WBS: managementul proiectului, cercetarea, proiectarea, componenta ML, backend-ul, aplicația mobilă, testarea, articolul, teza și livrarea aplicației.</w:t>
      </w:r>
    </w:p>
    <w:p>
      <w:pPr>
        <w:pStyle w:val="ListBullet"/>
      </w:pPr>
      <w:r>
        <w:t>Experimentele E1–E4 (obligatorii) și E5–E6 (comparația cu modelele fundație și transferul pe alt set de date, dacă datele externe se pot obține legal).</w:t>
      </w:r>
    </w:p>
    <w:p>
      <w:pPr>
        <w:pStyle w:val="ListBullet"/>
      </w:pPr>
      <w:r>
        <w:t>Testul beta cu voluntari (colegi, prieteni) pe telefoane Android.</w:t>
      </w:r>
    </w:p>
    <w:p>
      <w:pPr>
        <w:pStyle w:val="Heading1"/>
      </w:pPr>
      <w:r>
        <w:t>6. Domeniul exclus</w:t>
      </w:r>
    </w:p>
    <w:p>
      <w:pPr>
        <w:pStyle w:val="ListBullet"/>
      </w:pPr>
      <w:r>
        <w:t>Diagnosticul sau tratamentul medical și orice afirmație de acuratețe de nivel medical.</w:t>
      </w:r>
    </w:p>
    <w:p>
      <w:pPr>
        <w:pStyle w:val="ListBullet"/>
      </w:pPr>
      <w:r>
        <w:t>Clasamentele de tendințe și popularitate, monetizarea, linkurile afiliate și marketplace-ul în aplicație.</w:t>
      </w:r>
    </w:p>
    <w:p>
      <w:pPr>
        <w:pStyle w:val="ListBullet"/>
      </w:pPr>
      <w:r>
        <w:t>Teleconsultația cu un dermatolog.</w:t>
      </w:r>
    </w:p>
    <w:p>
      <w:pPr>
        <w:pStyle w:val="ListBullet"/>
      </w:pPr>
      <w:r>
        <w:t>Publicarea în Google Play sau App Store (beta-ul se distribuie ca build de test).</w:t>
      </w:r>
    </w:p>
    <w:p>
      <w:pPr>
        <w:pStyle w:val="ListBullet"/>
      </w:pPr>
      <w:r>
        <w:t>Mentenanța și suportul pentru utilizatori după 31.05.2027.</w:t>
      </w:r>
    </w:p>
    <w:p>
      <w:pPr>
        <w:pStyle w:val="ListBullet"/>
      </w:pPr>
      <w:r>
        <w:t>Antrenarea modelelor pe Fitzpatrick17k (imaginile se folosesc doar la testare și se șterg după cercetare).</w:t>
      </w:r>
    </w:p>
    <w:p>
      <w:pPr>
        <w:pStyle w:val="ListBullet"/>
      </w:pPr>
      <w:r>
        <w:t>Funcțiile „stretch” (harta facială pe mai multe zone, inferența pe telefon, partajarea socială, avertizările de conflict între ingrediente): intră doar printr-o cerere de schimbare aprobată, dacă rămâne timp după M8.</w:t>
      </w:r>
    </w:p>
    <w:p>
      <w:r>
        <w:rPr>
          <w:i/>
        </w:rPr>
        <w:t>Articolul acoperă exclusiv partea de ML; aplicația apare doar în teză.</w:t>
      </w:r>
    </w:p>
    <w:p>
      <w:pPr>
        <w:pStyle w:val="Heading1"/>
      </w:pPr>
      <w:r>
        <w:t>7. Criteriile de acceptare</w:t>
      </w:r>
    </w:p>
    <w:p>
      <w:r>
        <w:rPr>
          <w:i w:val="0"/>
        </w:rPr>
        <w:t>Macro-F1 este media scorului F1 (media armonică dintre precizie și recall) calculată separat pentru fiecare clasă, astfel încât clasele rare cântăresc la fel de mult ca cele frecvente.</w:t>
      </w:r>
    </w:p>
    <w:tbl>
      <w:tblPr>
        <w:tblStyle w:val="TableGrid"/>
        <w:tblW w:type="auto" w:w="0"/>
        <w:jc w:val="center"/>
        <w:tblLook w:firstColumn="1" w:firstRow="1" w:lastColumn="0" w:lastRow="0" w:noHBand="0" w:noVBand="1" w:val="04A0"/>
      </w:tblPr>
      <w:tblGrid>
        <w:gridCol w:w="4873"/>
        <w:gridCol w:w="4873"/>
      </w:tblGrid>
      <w:tr>
        <w:tc>
          <w:tcPr>
            <w:tcW w:type="dxa" w:w="1928"/>
            <w:shd w:val="clear" w:color="auto" w:fill="D6E4F0"/>
          </w:tcPr>
          <w:p>
            <w:r/>
            <w:r>
              <w:rPr>
                <w:b/>
                <w:sz w:val="20"/>
              </w:rPr>
              <w:t>Livrabil</w:t>
            </w:r>
          </w:p>
        </w:tc>
        <w:tc>
          <w:tcPr>
            <w:tcW w:type="dxa" w:w="7483"/>
            <w:shd w:val="clear" w:color="auto" w:fill="D6E4F0"/>
          </w:tcPr>
          <w:p>
            <w:r/>
            <w:r>
              <w:rPr>
                <w:b/>
                <w:sz w:val="20"/>
              </w:rPr>
              <w:t>Criteriu de acceptare verificabil</w:t>
            </w:r>
          </w:p>
        </w:tc>
      </w:tr>
      <w:tr>
        <w:tc>
          <w:tcPr>
            <w:tcW w:type="dxa" w:w="1928"/>
          </w:tcPr>
          <w:p>
            <w:r/>
            <w:r>
              <w:rPr>
                <w:sz w:val="20"/>
              </w:rPr>
              <w:t>L1 Aplicația</w:t>
            </w:r>
          </w:p>
        </w:tc>
        <w:tc>
          <w:tcPr>
            <w:tcW w:type="dxa" w:w="7483"/>
          </w:tcPr>
          <w:p>
            <w:r/>
            <w:r>
              <w:rPr>
                <w:sz w:val="20"/>
              </w:rPr>
              <w:t>Testele end-to-end ale fluxurilor principale (cont, analiză, scanare, rutină, jurnal) trec; rezultatul analizei apare în cel mult 10 s (mediana a 20 de încercări pe Wi-Fi); niciun termen din lista de termeni de diagnostic interziși nu apare în interfață; zero defecte critice deschise la predare.</w:t>
            </w:r>
          </w:p>
        </w:tc>
      </w:tr>
      <w:tr>
        <w:tc>
          <w:tcPr>
            <w:tcW w:type="dxa" w:w="1928"/>
          </w:tcPr>
          <w:p>
            <w:r/>
            <w:r>
              <w:rPr>
                <w:sz w:val="20"/>
              </w:rPr>
              <w:t>L2 API-ul</w:t>
            </w:r>
          </w:p>
        </w:tc>
        <w:tc>
          <w:tcPr>
            <w:tcW w:type="dxa" w:w="7483"/>
          </w:tcPr>
          <w:p>
            <w:r/>
            <w:r>
              <w:rPr>
                <w:sz w:val="20"/>
              </w:rPr>
              <w:t>Testele de integrare trec; un utilizator nu poate citi datele altui utilizator (test de izolare); exportul și ștergerea contului elimină toate documentele și fotografiile utilizatorului (verificat în baza de date și în stocare).</w:t>
            </w:r>
          </w:p>
        </w:tc>
      </w:tr>
      <w:tr>
        <w:tc>
          <w:tcPr>
            <w:tcW w:type="dxa" w:w="1928"/>
          </w:tcPr>
          <w:p>
            <w:r/>
            <w:r>
              <w:rPr>
                <w:sz w:val="20"/>
              </w:rPr>
              <w:t>L3 Componenta ML</w:t>
            </w:r>
          </w:p>
        </w:tc>
        <w:tc>
          <w:tcPr>
            <w:tcW w:type="dxa" w:w="7483"/>
          </w:tcPr>
          <w:p>
            <w:r/>
            <w:r>
              <w:rPr>
                <w:sz w:val="20"/>
              </w:rPr>
              <w:t>Tabelele E1–E4 se regenerează cu câte o comandă din README; fiecare rezultat raportează media ± abaterea pe 10 seed-uri, macro-F1, rezultatele pe clase și pe grupe de ton (Fitzpatrick, Monk) și ECE (eroarea de calibrare); testele pytest trec.</w:t>
            </w:r>
          </w:p>
        </w:tc>
      </w:tr>
      <w:tr>
        <w:tc>
          <w:tcPr>
            <w:tcW w:type="dxa" w:w="1928"/>
          </w:tcPr>
          <w:p>
            <w:r/>
            <w:r>
              <w:rPr>
                <w:sz w:val="20"/>
              </w:rPr>
              <w:t>L4 Articolul</w:t>
            </w:r>
          </w:p>
        </w:tc>
        <w:tc>
          <w:tcPr>
            <w:tcW w:type="dxa" w:w="7483"/>
          </w:tcPr>
          <w:p>
            <w:r/>
            <w:r>
              <w:rPr>
                <w:sz w:val="20"/>
              </w:rPr>
              <w:t>Manuscrisul este aprobat în scris de coordonator și confirmarea de primire a revistei există până la 31.12.2026.</w:t>
            </w:r>
          </w:p>
        </w:tc>
      </w:tr>
      <w:tr>
        <w:tc>
          <w:tcPr>
            <w:tcW w:type="dxa" w:w="1928"/>
          </w:tcPr>
          <w:p>
            <w:r/>
            <w:r>
              <w:rPr>
                <w:sz w:val="20"/>
              </w:rPr>
              <w:t>L5 Teza</w:t>
            </w:r>
          </w:p>
        </w:tc>
        <w:tc>
          <w:tcPr>
            <w:tcW w:type="dxa" w:w="7483"/>
          </w:tcPr>
          <w:p>
            <w:r/>
            <w:r>
              <w:rPr>
                <w:sz w:val="20"/>
              </w:rPr>
              <w:t>Respectă șablonul facultății, trece verificarea antiplagiat sub pragul facultății și este aprobată de coordonator până la 31.05.2027.</w:t>
            </w:r>
          </w:p>
        </w:tc>
      </w:tr>
      <w:tr>
        <w:tc>
          <w:tcPr>
            <w:tcW w:type="dxa" w:w="1928"/>
          </w:tcPr>
          <w:p>
            <w:r/>
            <w:r>
              <w:rPr>
                <w:sz w:val="20"/>
              </w:rPr>
              <w:t>L7 Testarea</w:t>
            </w:r>
          </w:p>
        </w:tc>
        <w:tc>
          <w:tcPr>
            <w:tcW w:type="dxa" w:w="7483"/>
          </w:tcPr>
          <w:p>
            <w:r/>
            <w:r>
              <w:rPr>
                <w:sz w:val="20"/>
              </w:rPr>
              <w:t>Raportul beta conține răspunsurile a cel puțin 5 utilizatori și lista defectelor găsite, fiecare cu starea ei.</w:t>
            </w:r>
          </w:p>
        </w:tc>
      </w:tr>
      <w:tr>
        <w:tc>
          <w:tcPr>
            <w:tcW w:type="dxa" w:w="1928"/>
          </w:tcPr>
          <w:p>
            <w:r/>
            <w:r>
              <w:rPr>
                <w:sz w:val="20"/>
              </w:rPr>
              <w:t>L8 Manualul</w:t>
            </w:r>
          </w:p>
        </w:tc>
        <w:tc>
          <w:tcPr>
            <w:tcW w:type="dxa" w:w="7483"/>
          </w:tcPr>
          <w:p>
            <w:r/>
            <w:r>
              <w:rPr>
                <w:sz w:val="20"/>
              </w:rPr>
              <w:t>Acoperă toate fluxurile din cerințele de nivel înalt, cu capturi de ecran.</w:t>
            </w:r>
          </w:p>
        </w:tc>
      </w:tr>
    </w:tbl>
    <w:p/>
    <w:p>
      <w:pPr>
        <w:pStyle w:val="Heading1"/>
      </w:pPr>
      <w:r>
        <w:t>8. Constrângerile</w:t>
      </w:r>
    </w:p>
    <w:p>
      <w:pPr>
        <w:pStyle w:val="ListBullet"/>
      </w:pPr>
      <w:r>
        <w:t>Termene fixe: articolul în decembrie 2026, teza la 31.05.2027; 10 luni (01.08.2026–31.05.2027).</w:t>
      </w:r>
    </w:p>
    <w:p>
      <w:pPr>
        <w:pStyle w:val="ListBullet"/>
      </w:pPr>
      <w:r>
        <w:t>Un singur membru în echipă pentru ML, backend, frontend, testare și documentare (1256 de ore estimate în WBS, aproximativ 29 de ore pe săptămână timp de 43 de săptămâni).</w:t>
      </w:r>
    </w:p>
    <w:p>
      <w:pPr>
        <w:pStyle w:val="ListBullet"/>
      </w:pPr>
      <w:r>
        <w:t>Fără buget extern; calcul pe un PC cu NVIDIA RTX 3060, cu Google Colab sau Kaggle ca rezervă.</w:t>
      </w:r>
    </w:p>
    <w:p>
      <w:pPr>
        <w:pStyle w:val="ListBullet"/>
      </w:pPr>
      <w:r>
        <w:t>Licența SCIN: folosire pentru cercetare, fără redistribuirea imaginilor, re-identificarea persoanelor interzisă; imaginile Fitzpatrick17k doar pentru testare, șterse după cercetare.</w:t>
      </w:r>
    </w:p>
    <w:p>
      <w:pPr>
        <w:pStyle w:val="ListBullet"/>
      </w:pPr>
      <w:r>
        <w:t>GDPR: fotografiile faciale și datele despre piele sunt categorii speciale de date; stocare doar în UE, cu consimțământ explicit.</w:t>
      </w:r>
    </w:p>
    <w:p>
      <w:pPr>
        <w:pStyle w:val="ListBullet"/>
      </w:pPr>
      <w:r>
        <w:t>Tehnologii stabilite: PyTorch, FastAPI, MongoDB Atlas (UE), React Native + Expo.</w:t>
      </w:r>
    </w:p>
    <w:p>
      <w:pPr>
        <w:pStyle w:val="Heading1"/>
      </w:pPr>
      <w:r>
        <w:t>9. Ipotezele</w:t>
      </w:r>
    </w:p>
    <w:p>
      <w:r>
        <w:rPr>
          <w:i w:val="0"/>
        </w:rPr>
        <w:t>Fiecare ipoteză este verificată pe parcurs; dacă se dovedește falsă, devine risc și intră în registrul riscurilor din jurnalul proiectului.</w:t>
      </w:r>
    </w:p>
    <w:p>
      <w:pPr>
        <w:pStyle w:val="ListBullet"/>
      </w:pPr>
      <w:r>
        <w:t>SCIN rămâne disponibil sub aceeași licență pe toată durata proiectului.</w:t>
      </w:r>
    </w:p>
    <w:p>
      <w:pPr>
        <w:pStyle w:val="ListBullet"/>
      </w:pPr>
      <w:r>
        <w:t>Nivelurile gratuite ale MongoDB Atlas și ale stocării de obiecte compatibile S3 din UE ajung pentru MVP și pentru beta.</w:t>
      </w:r>
    </w:p>
    <w:p>
      <w:pPr>
        <w:pStyle w:val="ListBullet"/>
      </w:pPr>
      <w:r>
        <w:t>Open Beauty Facts conține suficiente produse cosmetice cu listă de ingrediente pentru demonstrarea scannerului.</w:t>
      </w:r>
    </w:p>
    <w:p>
      <w:pPr>
        <w:pStyle w:val="ListBullet"/>
      </w:pPr>
      <w:r>
        <w:t>Cel puțin 5 colegi sau prieteni acceptă să testeze aplicația în M9.</w:t>
      </w:r>
    </w:p>
    <w:p>
      <w:pPr>
        <w:pStyle w:val="ListBullet"/>
      </w:pPr>
      <w:r>
        <w:t>Coordonatorul revizuiește manuscrisul și capitolele tezei în cel mult o săptămână.</w:t>
      </w:r>
    </w:p>
    <w:p>
      <w:pPr>
        <w:pStyle w:val="ListBullet"/>
      </w:pPr>
      <w:r>
        <w:t>Placa RTX 3060 (12 GB) ajunge pentru antrenarea modelelor EfficientNet și MobileNetV3.</w:t>
      </w:r>
    </w:p>
    <w:p>
      <w:pPr>
        <w:pStyle w:val="Heading1"/>
      </w:pPr>
      <w:r>
        <w:t>10. Aprobările și responsabilitățile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6E4F0"/>
          </w:tcPr>
          <w:p>
            <w:r/>
            <w:r>
              <w:rPr>
                <w:b/>
                <w:sz w:val="20"/>
              </w:rPr>
              <w:t>Rol</w:t>
            </w:r>
          </w:p>
        </w:tc>
        <w:tc>
          <w:tcPr>
            <w:tcW w:type="dxa" w:w="2381"/>
            <w:shd w:val="clear" w:color="auto" w:fill="D6E4F0"/>
          </w:tcPr>
          <w:p>
            <w:r/>
            <w:r>
              <w:rPr>
                <w:b/>
                <w:sz w:val="20"/>
              </w:rPr>
              <w:t>Nume</w:t>
            </w:r>
          </w:p>
        </w:tc>
        <w:tc>
          <w:tcPr>
            <w:tcW w:type="dxa" w:w="3742"/>
            <w:shd w:val="clear" w:color="auto" w:fill="D6E4F0"/>
          </w:tcPr>
          <w:p>
            <w:r/>
            <w:r>
              <w:rPr>
                <w:b/>
                <w:sz w:val="20"/>
              </w:rPr>
              <w:t>Responsabilitate</w:t>
            </w:r>
          </w:p>
        </w:tc>
        <w:tc>
          <w:tcPr>
            <w:tcW w:type="dxa" w:w="1587"/>
            <w:shd w:val="clear" w:color="auto" w:fill="D6E4F0"/>
          </w:tcPr>
          <w:p>
            <w:r/>
            <w:r>
              <w:rPr>
                <w:b/>
                <w:sz w:val="20"/>
              </w:rPr>
              <w:t>Semnătura / data</w:t>
            </w:r>
          </w:p>
        </w:tc>
      </w:tr>
      <w:tr>
        <w:tc>
          <w:tcPr>
            <w:tcW w:type="dxa" w:w="1701"/>
          </w:tcPr>
          <w:p>
            <w:r/>
            <w:r>
              <w:rPr>
                <w:sz w:val="20"/>
              </w:rPr>
              <w:t>Sponsor</w:t>
            </w:r>
          </w:p>
        </w:tc>
        <w:tc>
          <w:tcPr>
            <w:tcW w:type="dxa" w:w="2381"/>
          </w:tcPr>
          <w:p>
            <w:r/>
            <w:r>
              <w:rPr>
                <w:sz w:val="20"/>
              </w:rPr>
              <w:t>Stefan Popescu, profesor coordonator</w:t>
            </w:r>
          </w:p>
        </w:tc>
        <w:tc>
          <w:tcPr>
            <w:tcW w:type="dxa" w:w="3742"/>
          </w:tcPr>
          <w:p>
            <w:r/>
            <w:r>
              <w:rPr>
                <w:sz w:val="20"/>
              </w:rPr>
              <w:t>Aprobă enunțul domeniului și cererile de schimbare; revizuiește articolul și teza.</w:t>
            </w:r>
          </w:p>
        </w:tc>
        <w:tc>
          <w:tcPr>
            <w:tcW w:type="dxa" w:w="1587"/>
          </w:tcPr>
          <w:p>
            <w:r/>
            <w:r>
              <w:rPr>
                <w:sz w:val="20"/>
              </w:rPr>
            </w:r>
          </w:p>
        </w:tc>
      </w:tr>
      <w:tr>
        <w:tc>
          <w:tcPr>
            <w:tcW w:type="dxa" w:w="1701"/>
          </w:tcPr>
          <w:p>
            <w:r/>
            <w:r>
              <w:rPr>
                <w:sz w:val="20"/>
              </w:rPr>
              <w:t>Client</w:t>
            </w:r>
          </w:p>
        </w:tc>
        <w:tc>
          <w:tcPr>
            <w:tcW w:type="dxa" w:w="2381"/>
          </w:tcPr>
          <w:p>
            <w:r/>
            <w:r>
              <w:rPr>
                <w:sz w:val="20"/>
              </w:rPr>
              <w:t>Comisia de licență a facultății</w:t>
            </w:r>
          </w:p>
        </w:tc>
        <w:tc>
          <w:tcPr>
            <w:tcW w:type="dxa" w:w="3742"/>
          </w:tcPr>
          <w:p>
            <w:r/>
            <w:r>
              <w:rPr>
                <w:sz w:val="20"/>
              </w:rPr>
              <w:t>Evaluează teza și aplicația la susținere (acceptarea finală).</w:t>
            </w:r>
          </w:p>
        </w:tc>
        <w:tc>
          <w:tcPr>
            <w:tcW w:type="dxa" w:w="1587"/>
          </w:tcPr>
          <w:p>
            <w:r/>
            <w:r>
              <w:rPr>
                <w:sz w:val="20"/>
              </w:rPr>
              <w:t>–</w:t>
            </w:r>
          </w:p>
        </w:tc>
      </w:tr>
      <w:tr>
        <w:tc>
          <w:tcPr>
            <w:tcW w:type="dxa" w:w="1701"/>
          </w:tcPr>
          <w:p>
            <w:r/>
            <w:r>
              <w:rPr>
                <w:sz w:val="20"/>
              </w:rPr>
              <w:t>Manager de proiect</w:t>
            </w:r>
          </w:p>
        </w:tc>
        <w:tc>
          <w:tcPr>
            <w:tcW w:type="dxa" w:w="2381"/>
          </w:tcPr>
          <w:p>
            <w:r/>
            <w:r>
              <w:rPr>
                <w:sz w:val="20"/>
              </w:rPr>
              <w:t>Daria Giotina</w:t>
            </w:r>
          </w:p>
        </w:tc>
        <w:tc>
          <w:tcPr>
            <w:tcW w:type="dxa" w:w="3742"/>
          </w:tcPr>
          <w:p>
            <w:r/>
            <w:r>
              <w:rPr>
                <w:sz w:val="20"/>
              </w:rPr>
              <w:t>Răspunde de realizarea tuturor livrabilelor și execută tot lucrul din WBS.</w:t>
            </w:r>
          </w:p>
        </w:tc>
        <w:tc>
          <w:tcPr>
            <w:tcW w:type="dxa" w:w="1587"/>
          </w:tcPr>
          <w:p>
            <w:r/>
            <w:r>
              <w:rPr>
                <w:sz w:val="20"/>
              </w:rPr>
            </w:r>
          </w:p>
        </w:tc>
      </w:tr>
    </w:tbl>
    <w:p/>
    <w:p>
      <w:pPr>
        <w:pStyle w:val="Heading1"/>
      </w:pPr>
      <w:r>
        <w:t>Anexa 1. Strategia</w:t>
      </w:r>
    </w:p>
    <w:p>
      <w:r>
        <w:rPr>
          <w:i w:val="0"/>
        </w:rPr>
        <w:t>Proiectul se face pe faze lunare (M1–M10), cu partea de ML înaintea aplicației, pentru că articolul are termenul cel mai apropiat. Fiecare lună se încheie cu o intrare în jurnalul proiectului (raportul de stare) și cu un commit în depozitul GitHub. Funcțiile aplicației se dezvoltă incremental: întâi fluxul de analiză, apoi scannerul și rutinele, apoi urmărirea progresului, ca un MVP utilizabil să existe cât mai devreme. Întrebările de cercetare și domeniul articolului se stabilesc împreună cu coordonatorul.</w:t>
      </w:r>
    </w:p>
    <w:p>
      <w:pPr>
        <w:pStyle w:val="Heading1"/>
      </w:pPr>
      <w:r>
        <w:t>Anexa 2. Estimarea efortului și a costurilor</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D6E4F0"/>
          </w:tcPr>
          <w:p>
            <w:r/>
            <w:r>
              <w:rPr>
                <w:b/>
                <w:sz w:val="20"/>
              </w:rPr>
              <w:t>Cod WBS</w:t>
            </w:r>
          </w:p>
        </w:tc>
        <w:tc>
          <w:tcPr>
            <w:tcW w:type="dxa" w:w="6576"/>
            <w:shd w:val="clear" w:color="auto" w:fill="D6E4F0"/>
          </w:tcPr>
          <w:p>
            <w:r/>
            <w:r>
              <w:rPr>
                <w:b/>
                <w:sz w:val="20"/>
              </w:rPr>
              <w:t>Livrabil major</w:t>
            </w:r>
          </w:p>
        </w:tc>
        <w:tc>
          <w:tcPr>
            <w:tcW w:type="dxa" w:w="1701"/>
            <w:shd w:val="clear" w:color="auto" w:fill="D6E4F0"/>
          </w:tcPr>
          <w:p>
            <w:r/>
            <w:r>
              <w:rPr>
                <w:b/>
                <w:sz w:val="20"/>
              </w:rPr>
              <w:t>Efort (ore)</w:t>
            </w:r>
          </w:p>
        </w:tc>
      </w:tr>
      <w:tr>
        <w:tc>
          <w:tcPr>
            <w:tcW w:type="dxa" w:w="1134"/>
          </w:tcPr>
          <w:p>
            <w:r/>
            <w:r>
              <w:rPr>
                <w:sz w:val="20"/>
              </w:rPr>
              <w:t>1.1</w:t>
            </w:r>
          </w:p>
        </w:tc>
        <w:tc>
          <w:tcPr>
            <w:tcW w:type="dxa" w:w="6576"/>
          </w:tcPr>
          <w:p>
            <w:r/>
            <w:r>
              <w:rPr>
                <w:sz w:val="20"/>
              </w:rPr>
              <w:t>Managementul proiectului</w:t>
            </w:r>
          </w:p>
        </w:tc>
        <w:tc>
          <w:tcPr>
            <w:tcW w:type="dxa" w:w="1701"/>
          </w:tcPr>
          <w:p>
            <w:r/>
            <w:r>
              <w:rPr>
                <w:sz w:val="20"/>
              </w:rPr>
              <w:t>40</w:t>
            </w:r>
          </w:p>
        </w:tc>
      </w:tr>
      <w:tr>
        <w:tc>
          <w:tcPr>
            <w:tcW w:type="dxa" w:w="1134"/>
          </w:tcPr>
          <w:p>
            <w:r/>
            <w:r>
              <w:rPr>
                <w:sz w:val="20"/>
              </w:rPr>
              <w:t>1.2</w:t>
            </w:r>
          </w:p>
        </w:tc>
        <w:tc>
          <w:tcPr>
            <w:tcW w:type="dxa" w:w="6576"/>
          </w:tcPr>
          <w:p>
            <w:r/>
            <w:r>
              <w:rPr>
                <w:sz w:val="20"/>
              </w:rPr>
              <w:t>Cercetare și cerințe</w:t>
            </w:r>
          </w:p>
        </w:tc>
        <w:tc>
          <w:tcPr>
            <w:tcW w:type="dxa" w:w="1701"/>
          </w:tcPr>
          <w:p>
            <w:r/>
            <w:r>
              <w:rPr>
                <w:sz w:val="20"/>
              </w:rPr>
              <w:t>92</w:t>
            </w:r>
          </w:p>
        </w:tc>
      </w:tr>
      <w:tr>
        <w:tc>
          <w:tcPr>
            <w:tcW w:type="dxa" w:w="1134"/>
          </w:tcPr>
          <w:p>
            <w:r/>
            <w:r>
              <w:rPr>
                <w:sz w:val="20"/>
              </w:rPr>
              <w:t>1.3</w:t>
            </w:r>
          </w:p>
        </w:tc>
        <w:tc>
          <w:tcPr>
            <w:tcW w:type="dxa" w:w="6576"/>
          </w:tcPr>
          <w:p>
            <w:r/>
            <w:r>
              <w:rPr>
                <w:sz w:val="20"/>
              </w:rPr>
              <w:t>Proiectare</w:t>
            </w:r>
          </w:p>
        </w:tc>
        <w:tc>
          <w:tcPr>
            <w:tcW w:type="dxa" w:w="1701"/>
          </w:tcPr>
          <w:p>
            <w:r/>
            <w:r>
              <w:rPr>
                <w:sz w:val="20"/>
              </w:rPr>
              <w:t>84</w:t>
            </w:r>
          </w:p>
        </w:tc>
      </w:tr>
      <w:tr>
        <w:tc>
          <w:tcPr>
            <w:tcW w:type="dxa" w:w="1134"/>
          </w:tcPr>
          <w:p>
            <w:r/>
            <w:r>
              <w:rPr>
                <w:sz w:val="20"/>
              </w:rPr>
              <w:t>1.4</w:t>
            </w:r>
          </w:p>
        </w:tc>
        <w:tc>
          <w:tcPr>
            <w:tcW w:type="dxa" w:w="6576"/>
          </w:tcPr>
          <w:p>
            <w:r/>
            <w:r>
              <w:rPr>
                <w:sz w:val="20"/>
              </w:rPr>
              <w:t>Componenta ML de analiză a pielii</w:t>
            </w:r>
          </w:p>
        </w:tc>
        <w:tc>
          <w:tcPr>
            <w:tcW w:type="dxa" w:w="1701"/>
          </w:tcPr>
          <w:p>
            <w:r/>
            <w:r>
              <w:rPr>
                <w:sz w:val="20"/>
              </w:rPr>
              <w:t>260</w:t>
            </w:r>
          </w:p>
        </w:tc>
      </w:tr>
      <w:tr>
        <w:tc>
          <w:tcPr>
            <w:tcW w:type="dxa" w:w="1134"/>
          </w:tcPr>
          <w:p>
            <w:r/>
            <w:r>
              <w:rPr>
                <w:sz w:val="20"/>
              </w:rPr>
              <w:t>1.5</w:t>
            </w:r>
          </w:p>
        </w:tc>
        <w:tc>
          <w:tcPr>
            <w:tcW w:type="dxa" w:w="6576"/>
          </w:tcPr>
          <w:p>
            <w:r/>
            <w:r>
              <w:rPr>
                <w:sz w:val="20"/>
              </w:rPr>
              <w:t>Backend (API FastAPI)</w:t>
            </w:r>
          </w:p>
        </w:tc>
        <w:tc>
          <w:tcPr>
            <w:tcW w:type="dxa" w:w="1701"/>
          </w:tcPr>
          <w:p>
            <w:r/>
            <w:r>
              <w:rPr>
                <w:sz w:val="20"/>
              </w:rPr>
              <w:t>144</w:t>
            </w:r>
          </w:p>
        </w:tc>
      </w:tr>
      <w:tr>
        <w:tc>
          <w:tcPr>
            <w:tcW w:type="dxa" w:w="1134"/>
          </w:tcPr>
          <w:p>
            <w:r/>
            <w:r>
              <w:rPr>
                <w:sz w:val="20"/>
              </w:rPr>
              <w:t>1.6</w:t>
            </w:r>
          </w:p>
        </w:tc>
        <w:tc>
          <w:tcPr>
            <w:tcW w:type="dxa" w:w="6576"/>
          </w:tcPr>
          <w:p>
            <w:r/>
            <w:r>
              <w:rPr>
                <w:sz w:val="20"/>
              </w:rPr>
              <w:t>Aplicația mobilă (React Native + Expo)</w:t>
            </w:r>
          </w:p>
        </w:tc>
        <w:tc>
          <w:tcPr>
            <w:tcW w:type="dxa" w:w="1701"/>
          </w:tcPr>
          <w:p>
            <w:r/>
            <w:r>
              <w:rPr>
                <w:sz w:val="20"/>
              </w:rPr>
              <w:t>188</w:t>
            </w:r>
          </w:p>
        </w:tc>
      </w:tr>
      <w:tr>
        <w:tc>
          <w:tcPr>
            <w:tcW w:type="dxa" w:w="1134"/>
          </w:tcPr>
          <w:p>
            <w:r/>
            <w:r>
              <w:rPr>
                <w:sz w:val="20"/>
              </w:rPr>
              <w:t>1.7</w:t>
            </w:r>
          </w:p>
        </w:tc>
        <w:tc>
          <w:tcPr>
            <w:tcW w:type="dxa" w:w="6576"/>
          </w:tcPr>
          <w:p>
            <w:r/>
            <w:r>
              <w:rPr>
                <w:sz w:val="20"/>
              </w:rPr>
              <w:t>Testare</w:t>
            </w:r>
          </w:p>
        </w:tc>
        <w:tc>
          <w:tcPr>
            <w:tcW w:type="dxa" w:w="1701"/>
          </w:tcPr>
          <w:p>
            <w:r/>
            <w:r>
              <w:rPr>
                <w:sz w:val="20"/>
              </w:rPr>
              <w:t>92</w:t>
            </w:r>
          </w:p>
        </w:tc>
      </w:tr>
      <w:tr>
        <w:tc>
          <w:tcPr>
            <w:tcW w:type="dxa" w:w="1134"/>
          </w:tcPr>
          <w:p>
            <w:r/>
            <w:r>
              <w:rPr>
                <w:sz w:val="20"/>
              </w:rPr>
              <w:t>1.8</w:t>
            </w:r>
          </w:p>
        </w:tc>
        <w:tc>
          <w:tcPr>
            <w:tcW w:type="dxa" w:w="6576"/>
          </w:tcPr>
          <w:p>
            <w:r/>
            <w:r>
              <w:rPr>
                <w:sz w:val="20"/>
              </w:rPr>
              <w:t>Articolul de cercetare</w:t>
            </w:r>
          </w:p>
        </w:tc>
        <w:tc>
          <w:tcPr>
            <w:tcW w:type="dxa" w:w="1701"/>
          </w:tcPr>
          <w:p>
            <w:r/>
            <w:r>
              <w:rPr>
                <w:sz w:val="20"/>
              </w:rPr>
              <w:t>104</w:t>
            </w:r>
          </w:p>
        </w:tc>
      </w:tr>
      <w:tr>
        <w:tc>
          <w:tcPr>
            <w:tcW w:type="dxa" w:w="1134"/>
          </w:tcPr>
          <w:p>
            <w:r/>
            <w:r>
              <w:rPr>
                <w:sz w:val="20"/>
              </w:rPr>
              <w:t>1.9</w:t>
            </w:r>
          </w:p>
        </w:tc>
        <w:tc>
          <w:tcPr>
            <w:tcW w:type="dxa" w:w="6576"/>
          </w:tcPr>
          <w:p>
            <w:r/>
            <w:r>
              <w:rPr>
                <w:sz w:val="20"/>
              </w:rPr>
              <w:t>Teza de licență</w:t>
            </w:r>
          </w:p>
        </w:tc>
        <w:tc>
          <w:tcPr>
            <w:tcW w:type="dxa" w:w="1701"/>
          </w:tcPr>
          <w:p>
            <w:r/>
            <w:r>
              <w:rPr>
                <w:sz w:val="20"/>
              </w:rPr>
              <w:t>206</w:t>
            </w:r>
          </w:p>
        </w:tc>
      </w:tr>
      <w:tr>
        <w:tc>
          <w:tcPr>
            <w:tcW w:type="dxa" w:w="1134"/>
          </w:tcPr>
          <w:p>
            <w:r/>
            <w:r>
              <w:rPr>
                <w:sz w:val="20"/>
              </w:rPr>
              <w:t>1.10</w:t>
            </w:r>
          </w:p>
        </w:tc>
        <w:tc>
          <w:tcPr>
            <w:tcW w:type="dxa" w:w="6576"/>
          </w:tcPr>
          <w:p>
            <w:r/>
            <w:r>
              <w:rPr>
                <w:sz w:val="20"/>
              </w:rPr>
              <w:t>Livrarea aplicației</w:t>
            </w:r>
          </w:p>
        </w:tc>
        <w:tc>
          <w:tcPr>
            <w:tcW w:type="dxa" w:w="1701"/>
          </w:tcPr>
          <w:p>
            <w:r/>
            <w:r>
              <w:rPr>
                <w:sz w:val="20"/>
              </w:rPr>
              <w:t>46</w:t>
            </w:r>
          </w:p>
        </w:tc>
      </w:tr>
      <w:tr>
        <w:tc>
          <w:tcPr>
            <w:tcW w:type="dxa" w:w="1134"/>
          </w:tcPr>
          <w:p>
            <w:r/>
            <w:r>
              <w:rPr>
                <w:sz w:val="20"/>
              </w:rPr>
            </w:r>
          </w:p>
        </w:tc>
        <w:tc>
          <w:tcPr>
            <w:tcW w:type="dxa" w:w="6576"/>
          </w:tcPr>
          <w:p>
            <w:r/>
            <w:r>
              <w:rPr>
                <w:sz w:val="20"/>
              </w:rPr>
              <w:t>Total</w:t>
            </w:r>
          </w:p>
        </w:tc>
        <w:tc>
          <w:tcPr>
            <w:tcW w:type="dxa" w:w="1701"/>
          </w:tcPr>
          <w:p>
            <w:r/>
            <w:r>
              <w:rPr>
                <w:sz w:val="20"/>
              </w:rPr>
              <w:t>1256</w:t>
            </w:r>
          </w:p>
        </w:tc>
      </w:tr>
    </w:tbl>
    <w:p/>
    <w:p>
      <w:r>
        <w:rPr>
          <w:i w:val="0"/>
        </w:rPr>
        <w:t>Costuri directe: 0 lei pentru hardware și software (echipament propriu, instrumente gratuite, date publice). Găzduirea folosește niveluri gratuite; costul lunar real se confirmă la configurarea serviciilor din M5. Nu se face o analiză cost-beneficiu financiară: beneficiul proiectului este academic (teza, articolul) și practic (un instrument informativ pentru utilizatori).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