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Each seed yields 3,523 train, 755 validation and 755 test cases. In eFST V–VI the cases split 305, 66 and 65. The redness_rosacea category has 44 cases in total (31, 7 and 6 for seed 0) and only one case in V–VI, in the training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and that the splits cover every case.</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272 validation and 271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resized to 224×224 pixels and normalised with the ImageNet mean (0.485, 0.456, 0.406) and standard deviation (0.229, 0.224, 0.225), the statistics the pretrained networks were trained with; validation and test receive no augmentation beyond these two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groups. For the missing-answer question, the model is tested with 0%, 25%, 50%, 75% and 100% of the questionnaire fields hidden and compared with the photo-only model. Each configuration is run for the five seeds (0-4) and results are reported as mean and range. The script is ml/train.py.</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