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Capitolul 1. Introducere</w:t>
      </w:r>
    </w:p>
    <w:p>
      <w:pPr>
        <w:jc w:val="center"/>
      </w:pPr>
      <w:r>
        <w:rPr>
          <w:i/>
        </w:rPr>
        <w:t>Lucrare de licență: Companion pentru îngrijirea pielii asistat de inteligență artificială. Autor: Daria Giotina. (Ciornă)</w:t>
      </w:r>
    </w:p>
    <w:p>
      <w:pPr>
        <w:pStyle w:val="Heading2"/>
      </w:pPr>
      <w:r>
        <w:t>1.1 Motivație și formularea problemei</w:t>
      </w:r>
    </w:p>
    <w:p>
      <w:pPr>
        <w:ind w:firstLine="709"/>
        <w:jc w:val="both"/>
      </w:pPr>
      <w:r>
        <w:t>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[CITE], iar accesul la consultații de specialitate este adesea limitat de costuri, de distanța geografică sau de timpul de așteptare [CITE].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ind w:firstLine="709"/>
        <w:jc w:val="both"/>
      </w:pPr>
      <w:r>
        <w:t>Progresele recente din domeniul învățării automate, în special al rețelelor neuronale convoluționale și al transferului de cunoștințe de la modele preantrenate, au făcut posibilă clasificarea automată a imaginilor dermatologice cu rezultate promițătoare [CITE]. Cu toate acestea, majoritatea abordărilor existente se bazează exclusiv pe fotografie, deși informațiile declarate de utilizator, precum durata apariției, senzația de mâncărime sau rutina folosită, conțin indicii complementare pe care o imagine singură nu le poate oferi [CITE].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O a doua problemă, de natură etică și tehnică, este reprezentarea inegală a tonurilor de piele în seturile de date folosite pentru antrenare. Mai multe studii arată că tonurile închise sunt subreprezentate, ceea ce poate duce la performanțe diferite între grupuri [CITE]. Un sistem care îmbunătățește rezultatele în medie, dar le înrăutățește pentru anumite tonuri de piele, nu poate fi considerat echitabil, iar evaluarea performanței trebuie, prin urmare, stratificată în funcție de scalele Fitzpatrick și Monk [CITE].</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1.2 Obiective</w:t>
      </w:r>
    </w:p>
    <w:p>
      <w:pPr>
        <w:ind w:firstLine="709"/>
        <w:jc w:val="both"/>
      </w:pPr>
      <w:r>
        <w:t>[De redactat.]</w:t>
      </w:r>
    </w:p>
    <w:p>
      <w:pPr>
        <w:pStyle w:val="Heading2"/>
      </w:pPr>
      <w:r>
        <w:t>1.3 Contribuții</w:t>
      </w:r>
    </w:p>
    <w:p>
      <w:pPr>
        <w:ind w:firstLine="709"/>
        <w:jc w:val="both"/>
      </w:pPr>
      <w:r>
        <w:t>[De redactat după obținerea rezultatelor.]</w:t>
      </w:r>
    </w:p>
    <w:p>
      <w:pPr>
        <w:pStyle w:val="Heading1"/>
      </w:pPr>
      <w:r>
        <w:t>Capitolul 5. Metodologia AI/ML (ciornă)</w:t>
      </w:r>
    </w:p>
    <w:p>
      <w:pPr>
        <w:pStyle w:val="Heading2"/>
      </w:pPr>
      <w:r>
        <w:t>5.1 Setul de date SCIN: obținere, licență și audit</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[4]. Metadatele sunt distribuite sub forma a două fișiere CSV principale, scin_cases.csv și scin_labels.csv, legate prin identificatorul case_id, alături de două fișiere care descriu întrebările din aplicație și din procesul de etichetare (https://github.com/google-research-datasets/scin/blob/main/dataset_schema.md) [3]. Fișierele au fost descărcate din depozitul public Google Cloud Storage dx-scin-public-data, versiunea 1.0.0.</w:t>
      </w:r>
    </w:p>
    <w:p>
      <w:pPr>
        <w:ind w:firstLine="709"/>
        <w:jc w:val="both"/>
      </w:pPr>
      <w:r>
        <w:t>Utilizarea datelor este reglementată de SCIN Data Use License (https://github.com/google-research-datasets/scin/blob/main/LICENSE) [2].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ind w:firstLine="709"/>
        <w:jc w:val="both"/>
      </w:pPr>
      <w:r>
        <w:t>Pentru a cunoaște structura și limitările datelor înainte de proiectarea modelului, a fost implementat scriptul ml/scripts/audit_scin.py. Acesta încarcă cele două fișiere, verifică unicitatea și corespondența identificatorului case_id, unește tabelele la nivel de caz și generează o schemă a coloanelor (scin_schema.json), un raport de audit (scin_audit_report.md) și o intrare în registrul surselor de date (data_sources.csv). 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AGE_UNKNOWN sau OTHER_OR_UNSPECIFIED, au fost raportate separat de valorile absente.</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 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r>
        <w:rPr>
          <w:i/>
        </w:rPr>
        <w:t>Tabelul 5.1. Distribuția tonurilor de piele estimate în SCIN (N = 5.033 cazuri).</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Grupă</w:t>
            </w:r>
          </w:p>
        </w:tc>
        <w:tc>
          <w:tcPr>
            <w:tcW w:type="dxa" w:w="3135"/>
          </w:tcPr>
          <w:p>
            <w:r>
              <w:rPr>
                <w:b/>
              </w:rPr>
              <w:t>Cazuri</w:t>
            </w:r>
          </w:p>
        </w:tc>
        <w:tc>
          <w:tcPr>
            <w:tcW w:type="dxa" w:w="3135"/>
          </w:tcPr>
          <w:p>
            <w:r>
              <w:rPr>
                <w:b/>
              </w:rPr>
              <w:t>Procent</w:t>
            </w:r>
          </w:p>
        </w:tc>
      </w:tr>
      <w:tr>
        <w:tc>
          <w:tcPr>
            <w:tcW w:type="dxa" w:w="3135"/>
          </w:tcPr>
          <w:p>
            <w:r>
              <w:t>eFST I–II</w:t>
            </w:r>
          </w:p>
        </w:tc>
        <w:tc>
          <w:tcPr>
            <w:tcW w:type="dxa" w:w="3135"/>
          </w:tcPr>
          <w:p>
            <w:r>
              <w:t>1.773</w:t>
            </w:r>
          </w:p>
        </w:tc>
        <w:tc>
          <w:tcPr>
            <w:tcW w:type="dxa" w:w="3135"/>
          </w:tcPr>
          <w:p>
            <w:r>
              <w:t>35,2%</w:t>
            </w:r>
          </w:p>
        </w:tc>
      </w:tr>
      <w:tr>
        <w:tc>
          <w:tcPr>
            <w:tcW w:type="dxa" w:w="3135"/>
          </w:tcPr>
          <w:p>
            <w:r>
              <w:t>eFST III–IV</w:t>
            </w:r>
          </w:p>
        </w:tc>
        <w:tc>
          <w:tcPr>
            <w:tcW w:type="dxa" w:w="3135"/>
          </w:tcPr>
          <w:p>
            <w:r>
              <w:t>2.161</w:t>
            </w:r>
          </w:p>
        </w:tc>
        <w:tc>
          <w:tcPr>
            <w:tcW w:type="dxa" w:w="3135"/>
          </w:tcPr>
          <w:p>
            <w:r>
              <w:t>42,9%</w:t>
            </w:r>
          </w:p>
        </w:tc>
      </w:tr>
      <w:tr>
        <w:tc>
          <w:tcPr>
            <w:tcW w:type="dxa" w:w="3135"/>
          </w:tcPr>
          <w:p>
            <w:r>
              <w:t>eFST V–VI</w:t>
            </w:r>
          </w:p>
        </w:tc>
        <w:tc>
          <w:tcPr>
            <w:tcW w:type="dxa" w:w="3135"/>
          </w:tcPr>
          <w:p>
            <w:r>
              <w:t>436</w:t>
            </w:r>
          </w:p>
        </w:tc>
        <w:tc>
          <w:tcPr>
            <w:tcW w:type="dxa" w:w="3135"/>
          </w:tcPr>
          <w:p>
            <w:r>
              <w:t>8,7%</w:t>
            </w:r>
          </w:p>
        </w:tc>
      </w:tr>
      <w:tr>
        <w:tc>
          <w:tcPr>
            <w:tcW w:type="dxa" w:w="3135"/>
          </w:tcPr>
          <w:p>
            <w:r>
              <w:t>eFST lipsă</w:t>
            </w:r>
          </w:p>
        </w:tc>
        <w:tc>
          <w:tcPr>
            <w:tcW w:type="dxa" w:w="3135"/>
          </w:tcPr>
          <w:p>
            <w:r>
              <w:t>663</w:t>
            </w:r>
          </w:p>
        </w:tc>
        <w:tc>
          <w:tcPr>
            <w:tcW w:type="dxa" w:w="3135"/>
          </w:tcPr>
          <w:p>
            <w:r>
              <w:t>13,2%</w:t>
            </w:r>
          </w:p>
        </w:tc>
      </w:tr>
      <w:tr>
        <w:tc>
          <w:tcPr>
            <w:tcW w:type="dxa" w:w="3135"/>
          </w:tcPr>
          <w:p>
            <w:r>
              <w:t>eMST 1–3 (adnotatori SUA)</w:t>
            </w:r>
          </w:p>
        </w:tc>
        <w:tc>
          <w:tcPr>
            <w:tcW w:type="dxa" w:w="3135"/>
          </w:tcPr>
          <w:p>
            <w:r>
              <w:t>3.502</w:t>
            </w:r>
          </w:p>
        </w:tc>
        <w:tc>
          <w:tcPr>
            <w:tcW w:type="dxa" w:w="3135"/>
          </w:tcPr>
          <w:p>
            <w:r>
              <w:t>69,6%</w:t>
            </w:r>
          </w:p>
        </w:tc>
      </w:tr>
      <w:tr>
        <w:tc>
          <w:tcPr>
            <w:tcW w:type="dxa" w:w="3135"/>
          </w:tcPr>
          <w:p>
            <w:r>
              <w:t>eMST 4–6 (adnotatori SUA)</w:t>
            </w:r>
          </w:p>
        </w:tc>
        <w:tc>
          <w:tcPr>
            <w:tcW w:type="dxa" w:w="3135"/>
          </w:tcPr>
          <w:p>
            <w:r>
              <w:t>1.296</w:t>
            </w:r>
          </w:p>
        </w:tc>
        <w:tc>
          <w:tcPr>
            <w:tcW w:type="dxa" w:w="3135"/>
          </w:tcPr>
          <w:p>
            <w:r>
              <w:t>25,8%</w:t>
            </w:r>
          </w:p>
        </w:tc>
      </w:tr>
      <w:tr>
        <w:tc>
          <w:tcPr>
            <w:tcW w:type="dxa" w:w="3135"/>
          </w:tcPr>
          <w:p>
            <w:r>
              <w:t>eMST 7–10 (adnotatori SUA)</w:t>
            </w:r>
          </w:p>
        </w:tc>
        <w:tc>
          <w:tcPr>
            <w:tcW w:type="dxa" w:w="3135"/>
          </w:tcPr>
          <w:p>
            <w:r>
              <w:t>207</w:t>
            </w:r>
          </w:p>
        </w:tc>
        <w:tc>
          <w:tcPr>
            <w:tcW w:type="dxa" w:w="3135"/>
          </w:tcPr>
          <w:p>
            <w:r>
              <w:t>4,1%</w:t>
            </w:r>
          </w:p>
        </w:tc>
      </w:tr>
    </w:tbl>
    <w:p>
      <w:pPr>
        <w:ind w:firstLine="709"/>
        <w:jc w:val="both"/>
      </w:pPr>
      <w:r>
        <w:t>Distribuția tonurilor de piele este dezechilibrată (Tabelul 5.1). Tonul Fitzpatrick estimat de dermatologi (eFST) a fost calculat ca mediana celor până la trei etichete disponibile pentru fiecare caz;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vor fundamenta alegerea setului final de clase. Împărțirea în seturi de antrenare, validare și testare se va face la nivel de caz (case_id), astfel încât imaginile aceluiași caz să nu apară în seturi diferite.</w:t>
      </w:r>
    </w:p>
    <w:p>
      <w:pPr>
        <w:pStyle w:val="Heading1"/>
      </w:pPr>
      <w:r>
        <w:t>Bibliografie</w:t>
      </w:r>
    </w:p>
    <w:p>
      <w:pPr>
        <w:ind w:firstLine="0"/>
      </w:pPr>
      <w:r>
        <w:t>[1] Google Research, SCIN: Skin Condition Image Network, depozit GitHub. https://github.com/google-research-datasets/scin</w:t>
      </w:r>
    </w:p>
    <w:p>
      <w:pPr>
        <w:ind w:firstLine="0"/>
      </w:pPr>
      <w:r>
        <w:t>[2] Google Research, SCIN Data Use License. https://github.com/google-research-datasets/scin/blob/main/LICENSE</w:t>
      </w:r>
    </w:p>
    <w:p>
      <w:pPr>
        <w:ind w:firstLine="0"/>
      </w:pPr>
      <w:r>
        <w:t>[3] Google Research, documentația schemei setului de date SCIN. https://github.com/google-research-datasets/scin/blob/main/dataset_schema.md</w:t>
      </w:r>
    </w:p>
    <w:p>
      <w:pPr>
        <w:ind w:firstLine="0"/>
      </w:pPr>
      <w:r>
        <w:t>[4] Google Research Blog, SCIN: A new resource for representative dermatology images. https://research.google/blog/scin-a-new-resource-for-representative-dermatology-images/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